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hd w:val="clear" w:color="auto" w:fill="FAFAF7"/>
        <w:spacing w:after="40"/>
        <w:jc w:val="center"/>
      </w:pPr>
      <w:r>
        <w:rPr>
          <w:rFonts w:ascii="Arial" w:hAnsi="Arial" w:eastAsia="Arial"/>
          <w:b/>
          <w:i w:val="0"/>
          <w:color w:val="EE0000"/>
          <w:sz w:val="24"/>
        </w:rPr>
        <w:t>⚠️ ESTA HOJA NO SE IMPRIME NI SE ENTREGA AL JUZGADO. SON INSTRUCCIONES PARA TI. BÓRRALA ANTES DE IMPRIMIR TU DEMANDA. ⚠️</w:t>
      </w:r>
    </w:p>
    <w:p>
      <w:pPr>
        <w:shd w:val="clear" w:color="auto" w:fill="FAFAF7"/>
        <w:spacing w:after="40"/>
        <w:jc w:val="center"/>
      </w:pPr>
      <w:r>
        <w:rPr>
          <w:rFonts w:ascii="Arial" w:hAnsi="Arial" w:eastAsia="Arial"/>
          <w:b/>
          <w:i w:val="0"/>
          <w:color w:val="EE0000"/>
          <w:sz w:val="24"/>
        </w:rPr>
        <w:t>⚠️ ESTA HOJA NO SE IMPRIME NI SE ENTREGA AL JUZGADO. SON INSTRUCCIONES PARA TI. BÓRRALA ANTES DE IMPRIMIR TU DEMANDA. ⚠️</w:t>
      </w:r>
    </w:p>
    <w:p>
      <w:pPr>
        <w:shd w:val="clear" w:color="auto" w:fill="141414"/>
        <w:spacing w:after="0" w:before="120"/>
      </w:pPr>
      <w:r>
        <w:rPr>
          <w:rFonts w:ascii="Arial" w:hAnsi="Arial" w:eastAsia="Arial"/>
          <w:b/>
          <w:i w:val="0"/>
          <w:color w:val="FFFFFF"/>
          <w:sz w:val="28"/>
        </w:rPr>
        <w:t xml:space="preserve">NOTAS DE </w:t>
      </w:r>
      <w:r>
        <w:rPr>
          <w:rFonts w:ascii="Arial" w:hAnsi="Arial" w:eastAsia="Arial"/>
          <w:b/>
          <w:i w:val="0"/>
          <w:color w:val="F2C200"/>
          <w:sz w:val="28"/>
        </w:rPr>
        <w:t>CRUZDÍAZ LEGAL</w:t>
      </w:r>
      <w:r>
        <w:rPr>
          <w:rFonts w:ascii="Arial" w:hAnsi="Arial" w:eastAsia="Arial"/>
          <w:b/>
          <w:i w:val="0"/>
          <w:color w:val="FFFFFF"/>
          <w:sz w:val="28"/>
        </w:rPr>
      </w:r>
    </w:p>
    <w:p>
      <w:pPr>
        <w:shd w:val="clear" w:color="auto" w:fill="141414"/>
        <w:spacing w:after="120"/>
      </w:pPr>
      <w:r>
        <w:rPr>
          <w:rFonts w:ascii="Arial" w:hAnsi="Arial" w:eastAsia="Arial"/>
          <w:b w:val="0"/>
          <w:i w:val="0"/>
          <w:color w:val="FFFFFF"/>
          <w:sz w:val="19"/>
        </w:rPr>
        <w:t>léelas antes de llenar tu demanda (esta hoja NO se imprime ni se entrega al juzgado)</w:t>
      </w:r>
    </w:p>
    <w:p>
      <w:pPr>
        <w:shd w:val="clear" w:color="auto" w:fill="FAFAF7"/>
        <w:spacing w:after="40"/>
        <w:jc w:val="center"/>
      </w:pPr>
      <w:r>
        <w:rPr>
          <w:rFonts w:ascii="Arial" w:hAnsi="Arial" w:eastAsia="Arial"/>
          <w:b/>
          <w:i w:val="0"/>
          <w:color w:val="EE0000"/>
          <w:sz w:val="24"/>
        </w:rPr>
        <w:t>⚠️ ESTA HOJA NO SE IMPRIME NI SE ENTREGA AL JUZGADO. SON INSTRUCCIONES PARA TI. BÓRRALA ANTES DE IMPRIMIR TU DEMANDA. ⚠️</w:t>
      </w:r>
    </w:p>
    <w:p>
      <w:pPr>
        <w:shd w:val="clear" w:color="auto" w:fill="FAFAF7"/>
        <w:spacing w:after="60"/>
      </w:pPr>
      <w:r>
        <w:rPr>
          <w:rFonts w:ascii="Arial" w:hAnsi="Arial" w:eastAsia="Arial"/>
          <w:b/>
          <w:i w:val="0"/>
          <w:sz w:val="19"/>
        </w:rPr>
        <w:t>Qué es esto.</w:t>
      </w:r>
      <w:r>
        <w:rPr>
          <w:rFonts w:ascii="Arial" w:hAnsi="Arial" w:eastAsia="Arial"/>
          <w:b w:val="0"/>
          <w:i w:val="0"/>
          <w:sz w:val="19"/>
        </w:rPr>
        <w:t xml:space="preserve"> Es una demanda de amparo lista para llenar, para que un juez federal ordene que </w:t>
      </w:r>
      <w:r>
        <w:rPr>
          <w:rFonts w:ascii="Arial" w:hAnsi="Arial" w:eastAsia="Arial"/>
          <w:b/>
          <w:i w:val="0"/>
          <w:sz w:val="19"/>
        </w:rPr>
        <w:t>te regresen tu línea</w:t>
      </w:r>
      <w:r>
        <w:rPr>
          <w:rFonts w:ascii="Arial" w:hAnsi="Arial" w:eastAsia="Arial"/>
          <w:b w:val="0"/>
          <w:i w:val="0"/>
          <w:sz w:val="19"/>
        </w:rPr>
        <w:t xml:space="preserve"> (o que no te la corten) mientras se decide si es constitucional obligarte a vincularla con tu CURP. </w:t>
      </w:r>
      <w:r>
        <w:rPr>
          <w:rFonts w:ascii="Arial" w:hAnsi="Arial" w:eastAsia="Arial"/>
          <w:b/>
          <w:i w:val="0"/>
          <w:sz w:val="19"/>
        </w:rPr>
        <w:t>No cuesta nada</w:t>
      </w:r>
      <w:r>
        <w:rPr>
          <w:rFonts w:ascii="Arial" w:hAnsi="Arial" w:eastAsia="Arial"/>
          <w:b w:val="0"/>
          <w:i w:val="0"/>
          <w:sz w:val="19"/>
        </w:rPr>
        <w:t xml:space="preserve"> presentarla, la puedes presentar </w:t>
      </w:r>
      <w:r>
        <w:rPr>
          <w:rFonts w:ascii="Arial" w:hAnsi="Arial" w:eastAsia="Arial"/>
          <w:b/>
          <w:i w:val="0"/>
          <w:sz w:val="19"/>
        </w:rPr>
        <w:t>tú mismo/a</w:t>
      </w:r>
      <w:r>
        <w:rPr>
          <w:rFonts w:ascii="Arial" w:hAnsi="Arial" w:eastAsia="Arial"/>
          <w:b w:val="0"/>
          <w:i w:val="0"/>
          <w:sz w:val="19"/>
        </w:rPr>
        <w:t xml:space="preserve"> sin abogado (art. 6 de la Ley de Amparo) y no pagas ningún derecho. Nosotros la regalamos.</w:t>
      </w:r>
    </w:p>
    <w:p>
      <w:pPr>
        <w:shd w:val="clear" w:color="auto" w:fill="FAFAF7"/>
        <w:spacing w:after="60"/>
      </w:pPr>
      <w:r>
        <w:rPr>
          <w:rFonts w:ascii="Arial" w:hAnsi="Arial" w:eastAsia="Arial"/>
          <w:b/>
          <w:i w:val="0"/>
          <w:color w:val="E0A400"/>
          <w:sz w:val="20"/>
        </w:rPr>
        <w:t xml:space="preserve">1.- </w:t>
      </w:r>
      <w:r>
        <w:rPr>
          <w:rFonts w:ascii="Arial" w:hAnsi="Arial" w:eastAsia="Arial"/>
          <w:b/>
          <w:i w:val="0"/>
          <w:sz w:val="19"/>
        </w:rPr>
        <w:t>Llena todos los espacios [___]</w:t>
      </w:r>
      <w:r>
        <w:rPr>
          <w:rFonts w:ascii="Arial" w:hAnsi="Arial" w:eastAsia="Arial"/>
          <w:b w:val="0"/>
          <w:i w:val="0"/>
          <w:sz w:val="19"/>
        </w:rPr>
        <w:t xml:space="preserve"> con tus datos: nombre completo, domicilio, número de línea de 10 dígitos, si es prepago o pospago, y el nombre de tu compañía tal como aparece en tu contrato o recibo (Telcel = Radiomóvil Dipsa, S.A. de C.V.; Movistar = Pegaso PCS, S.A. de C.V.; para las demás búscalo en tu recibo, en tu contrato o en el aviso de privacidad de la página de la compañía). Si tu compañía es una marca que usa la red de otra (Bait, Virgin, etc.), pon el nombre de tu marca y, si lo sabes, el de la compañía dueña de la red.</w:t>
      </w:r>
    </w:p>
    <w:p>
      <w:pPr>
        <w:shd w:val="clear" w:color="auto" w:fill="FAFAF7"/>
        <w:spacing w:after="60"/>
      </w:pPr>
      <w:r>
        <w:rPr>
          <w:rFonts w:ascii="Arial" w:hAnsi="Arial" w:eastAsia="Arial"/>
          <w:b/>
          <w:i w:val="0"/>
          <w:color w:val="E0A400"/>
          <w:sz w:val="20"/>
        </w:rPr>
        <w:t xml:space="preserve">2.- </w:t>
      </w:r>
      <w:r>
        <w:rPr>
          <w:rFonts w:ascii="Arial" w:hAnsi="Arial" w:eastAsia="Arial"/>
          <w:b/>
          <w:i w:val="0"/>
          <w:sz w:val="19"/>
        </w:rPr>
        <w:t>Elige tu escenario y borra el otro.</w:t>
      </w:r>
      <w:r>
        <w:rPr>
          <w:rFonts w:ascii="Arial" w:hAnsi="Arial" w:eastAsia="Arial"/>
          <w:b w:val="0"/>
          <w:i w:val="0"/>
          <w:sz w:val="19"/>
        </w:rPr>
        <w:t xml:space="preserve"> Los párrafos marcados «ESCENARIO A» son para cuando </w:t>
      </w:r>
      <w:r>
        <w:rPr>
          <w:rFonts w:ascii="Arial" w:hAnsi="Arial" w:eastAsia="Arial"/>
          <w:b/>
          <w:i w:val="0"/>
          <w:sz w:val="19"/>
        </w:rPr>
        <w:t>ya te cortaron</w:t>
      </w:r>
      <w:r>
        <w:rPr>
          <w:rFonts w:ascii="Arial" w:hAnsi="Arial" w:eastAsia="Arial"/>
          <w:b w:val="0"/>
          <w:i w:val="0"/>
          <w:sz w:val="19"/>
        </w:rPr>
        <w:t xml:space="preserve"> la línea; los marcados «ESCENARIO B» para cuando </w:t>
      </w:r>
      <w:r>
        <w:rPr>
          <w:rFonts w:ascii="Arial" w:hAnsi="Arial" w:eastAsia="Arial"/>
          <w:b/>
          <w:i w:val="0"/>
          <w:sz w:val="19"/>
        </w:rPr>
        <w:t>todavía funciona pero ya recibiste el mensaje</w:t>
      </w:r>
      <w:r>
        <w:rPr>
          <w:rFonts w:ascii="Arial" w:hAnsi="Arial" w:eastAsia="Arial"/>
          <w:b w:val="0"/>
          <w:i w:val="0"/>
          <w:sz w:val="19"/>
        </w:rPr>
        <w:t xml:space="preserve"> de que la van a suspender en 72 horas. Deja sólo los de tu caso y quita las etiquetas «ESCENARIO A/B».</w:t>
      </w:r>
    </w:p>
    <w:p>
      <w:pPr>
        <w:shd w:val="clear" w:color="auto" w:fill="FAFAF7"/>
        <w:spacing w:after="60"/>
      </w:pPr>
      <w:r>
        <w:rPr>
          <w:rFonts w:ascii="Arial" w:hAnsi="Arial" w:eastAsia="Arial"/>
          <w:b/>
          <w:i w:val="0"/>
          <w:color w:val="E0A400"/>
          <w:sz w:val="20"/>
        </w:rPr>
        <w:t xml:space="preserve">3.- </w:t>
      </w:r>
      <w:r>
        <w:rPr>
          <w:rFonts w:ascii="Arial" w:hAnsi="Arial" w:eastAsia="Arial"/>
          <w:b/>
          <w:i w:val="0"/>
          <w:sz w:val="19"/>
        </w:rPr>
        <w:t>Plazo (cuéntalo a la conservadora).</w:t>
      </w:r>
      <w:r>
        <w:rPr>
          <w:rFonts w:ascii="Arial" w:hAnsi="Arial" w:eastAsia="Arial"/>
          <w:b w:val="0"/>
          <w:i w:val="0"/>
          <w:sz w:val="19"/>
        </w:rPr>
        <w:t xml:space="preserve"> Tienes </w:t>
      </w:r>
      <w:r>
        <w:rPr>
          <w:rFonts w:ascii="Arial" w:hAnsi="Arial" w:eastAsia="Arial"/>
          <w:b/>
          <w:i w:val="0"/>
          <w:sz w:val="19"/>
        </w:rPr>
        <w:t>15 días hábiles</w:t>
      </w:r>
      <w:r>
        <w:rPr>
          <w:rFonts w:ascii="Arial" w:hAnsi="Arial" w:eastAsia="Arial"/>
          <w:b w:val="0"/>
          <w:i w:val="0"/>
          <w:sz w:val="19"/>
        </w:rPr>
        <w:t xml:space="preserve"> (no cuentan sábados, domingos ni días festivos) contados a partir del </w:t>
      </w:r>
      <w:r>
        <w:rPr>
          <w:rFonts w:ascii="Arial" w:hAnsi="Arial" w:eastAsia="Arial"/>
          <w:b/>
          <w:i w:val="0"/>
          <w:sz w:val="19"/>
        </w:rPr>
        <w:t>día siguiente</w:t>
      </w:r>
      <w:r>
        <w:rPr>
          <w:rFonts w:ascii="Arial" w:hAnsi="Arial" w:eastAsia="Arial"/>
          <w:b w:val="0"/>
          <w:i w:val="0"/>
          <w:sz w:val="19"/>
        </w:rPr>
        <w:t xml:space="preserve"> al primer mensaje en que la compañía te avisó que tu línea </w:t>
      </w:r>
      <w:r>
        <w:rPr>
          <w:rFonts w:ascii="Arial" w:hAnsi="Arial" w:eastAsia="Arial"/>
          <w:b/>
          <w:i w:val="0"/>
          <w:sz w:val="19"/>
        </w:rPr>
        <w:t>"será suspendida en las próximas 72 horas"</w:t>
      </w:r>
      <w:r>
        <w:rPr>
          <w:rFonts w:ascii="Arial" w:hAnsi="Arial" w:eastAsia="Arial"/>
          <w:b w:val="0"/>
          <w:i w:val="0"/>
          <w:sz w:val="19"/>
        </w:rPr>
        <w:t xml:space="preserve">; si no recibiste ese mensaje, cuenta desde el día en que te quedaste sin servicio (arts. 17 y 18 de la Ley de Amparo). Entre más pronto la presentes, mejor. Si tu línea todavía funciona, preséntala </w:t>
      </w:r>
      <w:r>
        <w:rPr>
          <w:rFonts w:ascii="Arial" w:hAnsi="Arial" w:eastAsia="Arial"/>
          <w:b/>
          <w:i w:val="0"/>
          <w:sz w:val="19"/>
        </w:rPr>
        <w:t>antes</w:t>
      </w:r>
      <w:r>
        <w:rPr>
          <w:rFonts w:ascii="Arial" w:hAnsi="Arial" w:eastAsia="Arial"/>
          <w:b w:val="0"/>
          <w:i w:val="0"/>
          <w:sz w:val="19"/>
        </w:rPr>
        <w:t xml:space="preserve"> de la fecha que le toca al último número de tu línea: 0 → 15 de agosto · 1 → 31 de agosto · 2 → 15 de septiembre · 3 → 30 de septiembre · 4 → 15 de octubre · 5 → 31 de octubre · 6 → 15 de noviembre · 7 → 30 de noviembre · 8 → 15 de diciembre · 9 → 31 de diciembre de 2026 (después de esa fecha la compañía tiene 72 horas para cortarte).</w:t>
      </w:r>
    </w:p>
    <w:p>
      <w:pPr>
        <w:shd w:val="clear" w:color="auto" w:fill="FAFAF7"/>
        <w:spacing w:after="60"/>
      </w:pPr>
      <w:r>
        <w:rPr>
          <w:rFonts w:ascii="Arial" w:hAnsi="Arial" w:eastAsia="Arial"/>
          <w:b/>
          <w:i w:val="0"/>
          <w:color w:val="E0A400"/>
          <w:sz w:val="20"/>
        </w:rPr>
        <w:t xml:space="preserve">4.- </w:t>
      </w:r>
      <w:r>
        <w:rPr>
          <w:rFonts w:ascii="Arial" w:hAnsi="Arial" w:eastAsia="Arial"/>
          <w:b/>
          <w:i w:val="0"/>
          <w:sz w:val="19"/>
        </w:rPr>
        <w:t>Mientras dure el juicio, NO vincules tu línea.</w:t>
      </w:r>
      <w:r>
        <w:rPr>
          <w:rFonts w:ascii="Arial" w:hAnsi="Arial" w:eastAsia="Arial"/>
          <w:b w:val="0"/>
          <w:i w:val="0"/>
          <w:sz w:val="19"/>
        </w:rPr>
        <w:t xml:space="preserve"> Si la vinculas, lo más probable es que el juez considere que aceptaste el registro y dé por terminado el juicio. Para tener servicio mientras tanto está la </w:t>
      </w:r>
      <w:r>
        <w:rPr>
          <w:rFonts w:ascii="Arial" w:hAnsi="Arial" w:eastAsia="Arial"/>
          <w:b/>
          <w:i w:val="0"/>
          <w:sz w:val="19"/>
        </w:rPr>
        <w:t>suspensión</w:t>
      </w:r>
      <w:r>
        <w:rPr>
          <w:rFonts w:ascii="Arial" w:hAnsi="Arial" w:eastAsia="Arial"/>
          <w:b w:val="0"/>
          <w:i w:val="0"/>
          <w:sz w:val="19"/>
        </w:rPr>
        <w:t xml:space="preserve"> que se pide en esta misma demanda: el juez debe resolverla en el primer acuerdo que dicte (normalmente en las primeras 24 a 48 horas después de recibir la demanda); si el juzgado considera que no le toca conocer el asunto, primero lo envía al juzgado competente y la suspensión se decide allá (tarda más, pero el juicio no se pierde).</w:t>
      </w:r>
    </w:p>
    <w:p>
      <w:pPr>
        <w:shd w:val="clear" w:color="auto" w:fill="FAFAF7"/>
        <w:spacing w:after="60"/>
      </w:pPr>
      <w:r>
        <w:rPr>
          <w:rFonts w:ascii="Arial" w:hAnsi="Arial" w:eastAsia="Arial"/>
          <w:b/>
          <w:i w:val="0"/>
          <w:color w:val="E0A400"/>
          <w:sz w:val="20"/>
        </w:rPr>
        <w:t xml:space="preserve">5.- </w:t>
      </w:r>
      <w:r>
        <w:rPr>
          <w:rFonts w:ascii="Arial" w:hAnsi="Arial" w:eastAsia="Arial"/>
          <w:b/>
          <w:i w:val="0"/>
          <w:sz w:val="19"/>
        </w:rPr>
        <w:t>Dónde y cómo se presenta.</w:t>
      </w:r>
      <w:r>
        <w:rPr>
          <w:rFonts w:ascii="Arial" w:hAnsi="Arial" w:eastAsia="Arial"/>
          <w:b w:val="0"/>
          <w:i w:val="0"/>
          <w:sz w:val="19"/>
        </w:rPr>
        <w:t xml:space="preserve"> Como este asunto toca la ley de telecomunicaciones, la Constitución (art. 28, último párrafo) y la propia ley (arts. 298 y 299 de la Ley en Materia de Telecomunicaciones y Radiodifusión) dicen que estos amparos los resuelven los </w:t>
      </w:r>
      <w:r>
        <w:rPr>
          <w:rFonts w:ascii="Arial" w:hAnsi="Arial" w:eastAsia="Arial"/>
          <w:b/>
          <w:i w:val="0"/>
          <w:sz w:val="19"/>
        </w:rPr>
        <w:t>Juzgados de Distrito en Materia Administrativa Especializados en Competencia Económica, Radiodifusión y Telecomunicaciones</w:t>
      </w:r>
      <w:r>
        <w:rPr>
          <w:rFonts w:ascii="Arial" w:hAnsi="Arial" w:eastAsia="Arial"/>
          <w:b w:val="0"/>
          <w:i w:val="0"/>
          <w:sz w:val="19"/>
        </w:rPr>
        <w:t xml:space="preserve">, que están en la Ciudad de México pero atienden a </w:t>
      </w:r>
      <w:r>
        <w:rPr>
          <w:rFonts w:ascii="Arial" w:hAnsi="Arial" w:eastAsia="Arial"/>
          <w:b/>
          <w:i w:val="0"/>
          <w:sz w:val="19"/>
        </w:rPr>
        <w:t>todo el país</w:t>
      </w:r>
      <w:r>
        <w:rPr>
          <w:rFonts w:ascii="Arial" w:hAnsi="Arial" w:eastAsia="Arial"/>
          <w:b w:val="0"/>
          <w:i w:val="0"/>
          <w:sz w:val="19"/>
        </w:rPr>
        <w:t xml:space="preserve">. </w:t>
      </w:r>
      <w:r>
        <w:rPr>
          <w:rFonts w:ascii="Arial" w:hAnsi="Arial" w:eastAsia="Arial"/>
          <w:b/>
          <w:i w:val="0"/>
          <w:sz w:val="19"/>
        </w:rPr>
        <w:t>Opción A (recomendada):</w:t>
      </w:r>
      <w:r>
        <w:rPr>
          <w:rFonts w:ascii="Arial" w:hAnsi="Arial" w:eastAsia="Arial"/>
          <w:b w:val="0"/>
          <w:i w:val="0"/>
          <w:sz w:val="19"/>
        </w:rPr>
        <w:t xml:space="preserve"> dirígela a ellos (encabezado A) y preséntala </w:t>
      </w:r>
      <w:r>
        <w:rPr>
          <w:rFonts w:ascii="Arial" w:hAnsi="Arial" w:eastAsia="Arial"/>
          <w:b/>
          <w:i w:val="0"/>
          <w:sz w:val="19"/>
        </w:rPr>
        <w:t>por internet</w:t>
      </w:r>
      <w:r>
        <w:rPr>
          <w:rFonts w:ascii="Arial" w:hAnsi="Arial" w:eastAsia="Arial"/>
          <w:b w:val="0"/>
          <w:i w:val="0"/>
          <w:sz w:val="19"/>
        </w:rPr>
        <w:t xml:space="preserve"> en el Portal de Servicios en Línea del Poder Judicial de la Federación (serviciosenlinea.pjf.gob.mx): necesitas tu </w:t>
      </w:r>
      <w:r>
        <w:rPr>
          <w:rFonts w:ascii="Arial" w:hAnsi="Arial" w:eastAsia="Arial"/>
          <w:b/>
          <w:i w:val="0"/>
          <w:sz w:val="19"/>
        </w:rPr>
        <w:t>e.firma del SAT</w:t>
      </w:r>
      <w:r>
        <w:rPr>
          <w:rFonts w:ascii="Arial" w:hAnsi="Arial" w:eastAsia="Arial"/>
          <w:b w:val="0"/>
          <w:i w:val="0"/>
          <w:sz w:val="19"/>
        </w:rPr>
        <w:t xml:space="preserve"> o la </w:t>
      </w:r>
      <w:r>
        <w:rPr>
          <w:rFonts w:ascii="Arial" w:hAnsi="Arial" w:eastAsia="Arial"/>
          <w:b/>
          <w:i w:val="0"/>
          <w:sz w:val="19"/>
        </w:rPr>
        <w:t>FIREL</w:t>
      </w:r>
      <w:r>
        <w:rPr>
          <w:rFonts w:ascii="Arial" w:hAnsi="Arial" w:eastAsia="Arial"/>
          <w:b w:val="0"/>
          <w:i w:val="0"/>
          <w:sz w:val="19"/>
        </w:rPr>
        <w:t xml:space="preserve"> (la firma electrónica del propio Poder Judicial, que se tramita desde ese mismo portal); subes la demanda y los anexos en PDF, no necesitas copias ni viajar, y todo el juicio te llega por ahí. </w:t>
      </w:r>
      <w:r>
        <w:rPr>
          <w:rFonts w:ascii="Arial" w:hAnsi="Arial" w:eastAsia="Arial"/>
          <w:b/>
          <w:i w:val="0"/>
          <w:sz w:val="19"/>
        </w:rPr>
        <w:t>Opción B (si no puedes firmar electrónicamente):</w:t>
      </w:r>
      <w:r>
        <w:rPr>
          <w:rFonts w:ascii="Arial" w:hAnsi="Arial" w:eastAsia="Arial"/>
          <w:b w:val="0"/>
          <w:i w:val="0"/>
          <w:sz w:val="19"/>
        </w:rPr>
        <w:t xml:space="preserve"> cambia al encabezado B (Juzgados de Distrito en Materia Administrativa de tu ciudad; esta demanda trae los de León, Guanajuato) y preséntala en su Oficialía de Partes con el </w:t>
      </w:r>
      <w:r>
        <w:rPr>
          <w:rFonts w:ascii="Arial" w:hAnsi="Arial" w:eastAsia="Arial"/>
          <w:b/>
          <w:i w:val="0"/>
          <w:sz w:val="19"/>
        </w:rPr>
        <w:t>original firmado, una copia para cada autoridad que señalas en el apartado III y dos copias más para la suspensión</w:t>
      </w:r>
      <w:r>
        <w:rPr>
          <w:rFonts w:ascii="Arial" w:hAnsi="Arial" w:eastAsia="Arial"/>
          <w:b w:val="0"/>
          <w:i w:val="0"/>
          <w:sz w:val="19"/>
        </w:rPr>
        <w:t xml:space="preserve"> (art. 110 de la Ley de Amparo) — todas firmadas — más copia de tu INE. En la opción B hay un riesgo que debes conocer: el juzgado de tu ciudad puede declararse incompetente y </w:t>
      </w:r>
      <w:r>
        <w:rPr>
          <w:rFonts w:ascii="Arial" w:hAnsi="Arial" w:eastAsia="Arial"/>
          <w:b/>
          <w:i w:val="0"/>
          <w:sz w:val="19"/>
        </w:rPr>
        <w:t>enviar el expediente a los especializados sin resolver la suspensión</w:t>
      </w:r>
      <w:r>
        <w:rPr>
          <w:rFonts w:ascii="Arial" w:hAnsi="Arial" w:eastAsia="Arial"/>
          <w:b w:val="0"/>
          <w:i w:val="0"/>
          <w:sz w:val="19"/>
        </w:rPr>
        <w:t xml:space="preserve"> (art. 48 de la Ley de Amparo); en otros casos de 2026 los juzgados locales (Aguascalientes, Estado de México) sí conocieron y concedieron suspensiones, así que no es seguro que pase, pero si pasa </w:t>
      </w:r>
      <w:r>
        <w:rPr>
          <w:rFonts w:ascii="Arial" w:hAnsi="Arial" w:eastAsia="Arial"/>
          <w:b/>
          <w:i w:val="0"/>
          <w:sz w:val="19"/>
        </w:rPr>
        <w:t>no te asustes ni vuelvas a presentar nada</w:t>
      </w:r>
      <w:r>
        <w:rPr>
          <w:rFonts w:ascii="Arial" w:hAnsi="Arial" w:eastAsia="Arial"/>
          <w:b w:val="0"/>
          <w:i w:val="0"/>
          <w:sz w:val="19"/>
        </w:rPr>
        <w:t>: el juicio sigue allá y te notifican; solo se pierden unos días.</w:t>
      </w:r>
    </w:p>
    <w:p>
      <w:pPr>
        <w:shd w:val="clear" w:color="auto" w:fill="FAFAF7"/>
        <w:spacing w:after="60"/>
      </w:pPr>
      <w:r>
        <w:rPr>
          <w:rFonts w:ascii="Arial" w:hAnsi="Arial" w:eastAsia="Arial"/>
          <w:b/>
          <w:i w:val="0"/>
          <w:color w:val="E0A400"/>
          <w:sz w:val="20"/>
        </w:rPr>
        <w:t xml:space="preserve">6.- </w:t>
      </w:r>
      <w:r>
        <w:rPr>
          <w:rFonts w:ascii="Arial" w:hAnsi="Arial" w:eastAsia="Arial"/>
          <w:b/>
          <w:i w:val="0"/>
          <w:sz w:val="19"/>
        </w:rPr>
        <w:t>Qué anexar como pruebas.</w:t>
      </w:r>
      <w:r>
        <w:rPr>
          <w:rFonts w:ascii="Arial" w:hAnsi="Arial" w:eastAsia="Arial"/>
          <w:b w:val="0"/>
          <w:i w:val="0"/>
          <w:sz w:val="19"/>
        </w:rPr>
        <w:t xml:space="preserve"> Lo más importante es demostrar que </w:t>
      </w:r>
      <w:r>
        <w:rPr>
          <w:rFonts w:ascii="Arial" w:hAnsi="Arial" w:eastAsia="Arial"/>
          <w:b/>
          <w:i w:val="0"/>
          <w:sz w:val="19"/>
        </w:rPr>
        <w:t>esa línea es tuya</w:t>
      </w:r>
      <w:r>
        <w:rPr>
          <w:rFonts w:ascii="Arial" w:hAnsi="Arial" w:eastAsia="Arial"/>
          <w:b w:val="0"/>
          <w:i w:val="0"/>
          <w:sz w:val="19"/>
        </w:rPr>
        <w:t xml:space="preserve">: lo mejor es el </w:t>
      </w:r>
      <w:r>
        <w:rPr>
          <w:rFonts w:ascii="Arial" w:hAnsi="Arial" w:eastAsia="Arial"/>
          <w:b/>
          <w:i w:val="0"/>
          <w:sz w:val="19"/>
        </w:rPr>
        <w:t>contrato o un estado de cuenta</w:t>
      </w:r>
      <w:r>
        <w:rPr>
          <w:rFonts w:ascii="Arial" w:hAnsi="Arial" w:eastAsia="Arial"/>
          <w:b w:val="0"/>
          <w:i w:val="0"/>
          <w:sz w:val="19"/>
        </w:rPr>
        <w:t xml:space="preserve"> a tu nombre (pospago); si eres de </w:t>
      </w:r>
      <w:r>
        <w:rPr>
          <w:rFonts w:ascii="Arial" w:hAnsi="Arial" w:eastAsia="Arial"/>
          <w:b/>
          <w:i w:val="0"/>
          <w:sz w:val="19"/>
        </w:rPr>
        <w:t>prepago</w:t>
      </w:r>
      <w:r>
        <w:rPr>
          <w:rFonts w:ascii="Arial" w:hAnsi="Arial" w:eastAsia="Arial"/>
          <w:b w:val="0"/>
          <w:i w:val="0"/>
          <w:sz w:val="19"/>
        </w:rPr>
        <w:t xml:space="preserve">, sirve una captura de la </w:t>
      </w:r>
      <w:r>
        <w:rPr>
          <w:rFonts w:ascii="Arial" w:hAnsi="Arial" w:eastAsia="Arial"/>
          <w:b/>
          <w:i w:val="0"/>
          <w:sz w:val="19"/>
        </w:rPr>
        <w:t>aplicación de tu compañía</w:t>
      </w:r>
      <w:r>
        <w:rPr>
          <w:rFonts w:ascii="Arial" w:hAnsi="Arial" w:eastAsia="Arial"/>
          <w:b w:val="0"/>
          <w:i w:val="0"/>
          <w:sz w:val="19"/>
        </w:rPr>
        <w:t xml:space="preserve"> donde aparezcan tu nombre y tu número, una factura o recibo de recarga o de compra de equipo a tu nombre, el comprobante de una portabilidad anterior, o cualquier documento oficial, bancario o de un servicio (luz, agua, banco, escuela) donde ese número aparezca registrado como tuyo — entre más de estos juntes, mejor; un simple ticket de recarga sin nombre </w:t>
      </w:r>
      <w:r>
        <w:rPr>
          <w:rFonts w:ascii="Arial" w:hAnsi="Arial" w:eastAsia="Arial"/>
          <w:b/>
          <w:i w:val="0"/>
          <w:sz w:val="19"/>
        </w:rPr>
        <w:t>no basta</w:t>
      </w:r>
      <w:r>
        <w:rPr>
          <w:rFonts w:ascii="Arial" w:hAnsi="Arial" w:eastAsia="Arial"/>
          <w:b w:val="0"/>
          <w:i w:val="0"/>
          <w:sz w:val="19"/>
        </w:rPr>
        <w:t xml:space="preserve"> por sí solo. Además: </w:t>
      </w:r>
      <w:r>
        <w:rPr>
          <w:rFonts w:ascii="Arial" w:hAnsi="Arial" w:eastAsia="Arial"/>
          <w:b/>
          <w:i w:val="0"/>
          <w:sz w:val="19"/>
        </w:rPr>
        <w:t>capturas de pantalla de los mensajes</w:t>
      </w:r>
      <w:r>
        <w:rPr>
          <w:rFonts w:ascii="Arial" w:hAnsi="Arial" w:eastAsia="Arial"/>
          <w:b w:val="0"/>
          <w:i w:val="0"/>
          <w:sz w:val="19"/>
        </w:rPr>
        <w:t xml:space="preserve"> que te mandó la compañía sobre la fecha límite y sobre la suspensión en 72 horas (con fecha y hora) y, si ya te cortaron, una </w:t>
      </w:r>
      <w:r>
        <w:rPr>
          <w:rFonts w:ascii="Arial" w:hAnsi="Arial" w:eastAsia="Arial"/>
          <w:b/>
          <w:i w:val="0"/>
          <w:sz w:val="19"/>
        </w:rPr>
        <w:t>captura o foto de la pantalla</w:t>
      </w:r>
      <w:r>
        <w:rPr>
          <w:rFonts w:ascii="Arial" w:hAnsi="Arial" w:eastAsia="Arial"/>
          <w:b w:val="0"/>
          <w:i w:val="0"/>
          <w:sz w:val="19"/>
        </w:rPr>
        <w:t xml:space="preserve"> donde se vea que la línea no tiene servicio o el aviso de la compañía. Que están cortando líneas por miles es un hecho público que salió en todos los medios y consta en el Diario Oficial, y así se lo decimos al juez. Y si al intentar el trámite (o al ir a desvincular) te exigieron una </w:t>
      </w:r>
      <w:r>
        <w:rPr>
          <w:rFonts w:ascii="Arial" w:hAnsi="Arial" w:eastAsia="Arial"/>
          <w:b/>
          <w:i w:val="0"/>
          <w:sz w:val="19"/>
        </w:rPr>
        <w:t>selfie, video del rostro o huellas</w:t>
      </w:r>
      <w:r>
        <w:rPr>
          <w:rFonts w:ascii="Arial" w:hAnsi="Arial" w:eastAsia="Arial"/>
          <w:b w:val="0"/>
          <w:i w:val="0"/>
          <w:sz w:val="19"/>
        </w:rPr>
        <w:t xml:space="preserve"> —la llamada "prueba de vida"—, guarda captura o foto de esa pantalla o del módulo: esa exigencia no viene en la ley y la demanda la reclama.</w:t>
      </w:r>
    </w:p>
    <w:p>
      <w:pPr>
        <w:shd w:val="clear" w:color="auto" w:fill="FAFAF7"/>
        <w:spacing w:after="60"/>
      </w:pPr>
      <w:r>
        <w:rPr>
          <w:rFonts w:ascii="Arial" w:hAnsi="Arial" w:eastAsia="Arial"/>
          <w:b/>
          <w:i w:val="0"/>
          <w:color w:val="E0A400"/>
          <w:sz w:val="20"/>
        </w:rPr>
        <w:t xml:space="preserve">7.- </w:t>
      </w:r>
      <w:r>
        <w:rPr>
          <w:rFonts w:ascii="Arial" w:hAnsi="Arial" w:eastAsia="Arial"/>
          <w:b/>
          <w:i w:val="0"/>
          <w:sz w:val="19"/>
        </w:rPr>
        <w:t>La suspensión es lo más importante y lo más peleado — y no está garantizada.</w:t>
      </w:r>
      <w:r>
        <w:rPr>
          <w:rFonts w:ascii="Arial" w:hAnsi="Arial" w:eastAsia="Arial"/>
          <w:b w:val="0"/>
          <w:i w:val="0"/>
          <w:sz w:val="19"/>
        </w:rPr>
        <w:t xml:space="preserve"> La Constitución (art. 28) dice que las normas del regulador de telecomunicaciones no se pueden suspender; por eso la demanda pide la suspensión </w:t>
      </w:r>
      <w:r>
        <w:rPr>
          <w:rFonts w:ascii="Arial" w:hAnsi="Arial" w:eastAsia="Arial"/>
          <w:b/>
          <w:i w:val="0"/>
          <w:sz w:val="19"/>
        </w:rPr>
        <w:t>contra la ley del Congreso y contra el corte de tu línea</w:t>
      </w:r>
      <w:r>
        <w:rPr>
          <w:rFonts w:ascii="Arial" w:hAnsi="Arial" w:eastAsia="Arial"/>
          <w:b w:val="0"/>
          <w:i w:val="0"/>
          <w:sz w:val="19"/>
        </w:rPr>
        <w:t xml:space="preserve">, no contra la Comisión, y explica por qué eso es distinto. Ya se han presentado amparos contra este registro en varios estados (Aguascalientes, Estado de México, Chihuahua, entre otros) y en 2026 tribunales federales de la Ciudad de México, Aguascalientes y el Estado de México han </w:t>
      </w:r>
      <w:r>
        <w:rPr>
          <w:rFonts w:ascii="Arial" w:hAnsi="Arial" w:eastAsia="Arial"/>
          <w:b/>
          <w:i w:val="0"/>
          <w:sz w:val="19"/>
        </w:rPr>
        <w:t>concedido</w:t>
      </w:r>
      <w:r>
        <w:rPr>
          <w:rFonts w:ascii="Arial" w:hAnsi="Arial" w:eastAsia="Arial"/>
          <w:b w:val="0"/>
          <w:i w:val="0"/>
          <w:sz w:val="19"/>
        </w:rPr>
        <w:t xml:space="preserve"> suspensiones contra el registro y contra la CURP biométrica — sus criterios van citados, incluida la primera concedida por un Tribunal Colegiado (queja 260/2026, Estado de México, junio de 2026) para que a una persona no le exigieran biometría al registrar sus líneas —; también hay tribunales que la han negado por "interés social". La demanda trae los argumentos para las dos cosas. Si te la niegan, tienes recurso de </w:t>
      </w:r>
      <w:r>
        <w:rPr>
          <w:rFonts w:ascii="Arial" w:hAnsi="Arial" w:eastAsia="Arial"/>
          <w:b/>
          <w:i w:val="0"/>
          <w:sz w:val="19"/>
        </w:rPr>
        <w:t>queja</w:t>
      </w:r>
      <w:r>
        <w:rPr>
          <w:rFonts w:ascii="Arial" w:hAnsi="Arial" w:eastAsia="Arial"/>
          <w:b w:val="0"/>
          <w:i w:val="0"/>
          <w:sz w:val="19"/>
        </w:rPr>
        <w:t xml:space="preserve"> en 2 días hábiles (arts. 97, fracc. I, inciso b), y 98, fracc. I, de la Ley de Amparo; se presenta ante el mismo juzgado); si te la conceden, la compañía tiene que reactivarte de inmediato y, si no lo hace, avísale al juzgado por escrito.</w:t>
      </w:r>
    </w:p>
    <w:p>
      <w:pPr>
        <w:shd w:val="clear" w:color="auto" w:fill="FAFAF7"/>
        <w:spacing w:after="40"/>
        <w:jc w:val="center"/>
      </w:pPr>
      <w:r>
        <w:rPr>
          <w:rFonts w:ascii="Arial" w:hAnsi="Arial" w:eastAsia="Arial"/>
          <w:b/>
          <w:i w:val="0"/>
          <w:color w:val="EE0000"/>
          <w:sz w:val="24"/>
        </w:rPr>
        <w:t>⚠️ ESTA HOJA NO SE IMPRIME NI SE ENTREGA AL JUZGADO. SON INSTRUCCIONES PARA TI. BÓRRALA ANTES DE IMPRIMIR TU DEMANDA. ⚠️</w:t>
      </w:r>
    </w:p>
    <w:p>
      <w:pPr>
        <w:shd w:val="clear" w:color="auto" w:fill="FAFAF7"/>
        <w:spacing w:after="40"/>
        <w:jc w:val="center"/>
      </w:pPr>
      <w:r>
        <w:rPr>
          <w:rFonts w:ascii="Arial" w:hAnsi="Arial" w:eastAsia="Arial"/>
          <w:b/>
          <w:i w:val="0"/>
          <w:color w:val="EE0000"/>
          <w:sz w:val="24"/>
        </w:rPr>
        <w:t>⚠️ ESTA HOJA NO SE IMPRIME NI SE ENTREGA AL JUZGADO. SON INSTRUCCIONES PARA TI. BÓRRALA ANTES DE IMPRIMIR TU DEMANDA. ⚠️</w:t>
      </w:r>
    </w:p>
    <w:p>
      <w:pPr>
        <w:shd w:val="clear" w:color="auto" w:fill="141414"/>
        <w:spacing w:before="120"/>
        <w:jc w:val="center"/>
      </w:pPr>
      <w:r>
        <w:rPr>
          <w:rFonts w:ascii="Arial" w:hAnsi="Arial" w:eastAsia="Arial"/>
          <w:b/>
          <w:i w:val="0"/>
          <w:color w:val="F2C200"/>
          <w:sz w:val="22"/>
        </w:rPr>
        <w:t>CRUZDÍAZ LEGAL</w:t>
      </w:r>
    </w:p>
    <w:p>
      <w:pPr>
        <w:shd w:val="clear" w:color="auto" w:fill="FAFAF7"/>
        <w:spacing w:after="40"/>
        <w:jc w:val="center"/>
      </w:pPr>
      <w:r>
        <w:rPr>
          <w:rFonts w:ascii="Arial" w:hAnsi="Arial" w:eastAsia="Arial"/>
          <w:b/>
          <w:i w:val="0"/>
          <w:color w:val="EE0000"/>
          <w:sz w:val="24"/>
        </w:rPr>
        <w:t>⚠️ ESTA HOJA NO SE IMPRIME NI SE ENTREGA AL JUZGADO. SON INSTRUCCIONES PARA TI. BÓRRALA ANTES DE IMPRIMIR TU DEMANDA. ⚠️</w:t>
      </w:r>
    </w:p>
    <w:p>
      <w:r>
        <w:br w:type="page"/>
      </w:r>
    </w:p>
    <w:p>
      <w:pPr>
        <w:jc w:val="both"/>
      </w:pPr>
      <w:r>
        <w:rPr>
          <w:rFonts w:ascii="Arial" w:hAnsi="Arial" w:eastAsia="Arial"/>
          <w:b w:val="0"/>
          <w:i w:val="0"/>
          <w:sz w:val="22"/>
        </w:rPr>
        <w:t>[ENCABEZADO A — si presentas por internet ante los juzgados especializados (recomendado):]</w:t>
      </w:r>
    </w:p>
    <w:p>
      <w:pPr>
        <w:spacing w:after="0"/>
        <w:jc w:val="both"/>
      </w:pPr>
      <w:r>
        <w:rPr>
          <w:rFonts w:ascii="Arial" w:hAnsi="Arial" w:eastAsia="Arial"/>
          <w:b/>
          <w:i w:val="0"/>
          <w:sz w:val="22"/>
        </w:rPr>
        <w:t>JUZGADO DE DISTRITO EN MATERIA ADMINISTRATIVA ESPECIALIZADO EN COMPETENCIA ECONÓMICA, RADIODIFUSIÓN Y TELECOMUNICACIONES,</w:t>
      </w:r>
    </w:p>
    <w:p>
      <w:pPr>
        <w:jc w:val="both"/>
      </w:pPr>
      <w:r>
        <w:rPr>
          <w:rFonts w:ascii="Arial" w:hAnsi="Arial" w:eastAsia="Arial"/>
          <w:b/>
          <w:i w:val="0"/>
          <w:sz w:val="22"/>
        </w:rPr>
        <w:t>CON RESIDENCIA EN LA CIUDAD DE MÉXICO Y JURISDICCIÓN EN TODA LA REPÚBLICA, EN TURNO</w:t>
      </w:r>
    </w:p>
    <w:p>
      <w:pPr>
        <w:jc w:val="both"/>
      </w:pPr>
      <w:r>
        <w:rPr>
          <w:rFonts w:ascii="Arial" w:hAnsi="Arial" w:eastAsia="Arial"/>
          <w:b w:val="0"/>
          <w:i w:val="0"/>
          <w:sz w:val="22"/>
        </w:rPr>
        <w:t>[ENCABEZADO B — si presentas en tu ciudad, borra el encabezado A y deja este:]</w:t>
      </w:r>
    </w:p>
    <w:p>
      <w:pPr>
        <w:spacing w:after="0"/>
        <w:jc w:val="both"/>
      </w:pPr>
      <w:r>
        <w:rPr>
          <w:rFonts w:ascii="Arial" w:hAnsi="Arial" w:eastAsia="Arial"/>
          <w:b/>
          <w:i w:val="0"/>
          <w:sz w:val="22"/>
        </w:rPr>
        <w:t>JUZGADO DE DISTRITO EN MATERIA ADMINISTRATIVA</w:t>
      </w:r>
    </w:p>
    <w:p>
      <w:pPr>
        <w:jc w:val="both"/>
      </w:pPr>
      <w:r>
        <w:rPr>
          <w:rFonts w:ascii="Arial" w:hAnsi="Arial" w:eastAsia="Arial"/>
          <w:b/>
          <w:i w:val="0"/>
          <w:sz w:val="22"/>
        </w:rPr>
        <w:t>EN EL ESTADO DE GUANAJUATO, CON RESIDENCIA EN LEÓN, EN TURNO</w:t>
      </w:r>
    </w:p>
    <w:p>
      <w:pPr>
        <w:jc w:val="both"/>
      </w:pPr>
      <w:r>
        <w:rPr>
          <w:rFonts w:ascii="Arial" w:hAnsi="Arial" w:eastAsia="Arial"/>
          <w:b/>
          <w:i w:val="0"/>
          <w:sz w:val="22"/>
        </w:rPr>
        <w:t>P R E S E N T E</w:t>
      </w:r>
    </w:p>
    <w:p>
      <w:pPr>
        <w:jc w:val="both"/>
      </w:pPr>
      <w:r>
        <w:rPr>
          <w:rFonts w:ascii="Arial" w:hAnsi="Arial" w:eastAsia="Arial"/>
          <w:b/>
          <w:i w:val="0"/>
          <w:sz w:val="22"/>
        </w:rPr>
        <w:t>[NOMBRE COMPLETO DEL QUEJOSO/A]</w:t>
      </w:r>
      <w:r>
        <w:rPr>
          <w:rFonts w:ascii="Arial" w:hAnsi="Arial" w:eastAsia="Arial"/>
          <w:b w:val="0"/>
          <w:i w:val="0"/>
          <w:sz w:val="22"/>
        </w:rPr>
        <w:t xml:space="preserve">, por mi propio derecho, señalando como domicilio para oír y recibir notificaciones el ubicado en [___], en León, Guanajuato, [OPCIONAL: y autorizando en términos amplios del artículo 12 de la </w:t>
      </w:r>
      <w:r>
        <w:rPr>
          <w:rFonts w:ascii="Arial" w:hAnsi="Arial" w:eastAsia="Arial"/>
          <w:b w:val="0"/>
          <w:i w:val="0"/>
          <w:color w:val="0070C0"/>
          <w:sz w:val="22"/>
        </w:rPr>
        <w:t>Ley de Amparo (en adelante "LA")</w:t>
      </w:r>
      <w:r>
        <w:rPr>
          <w:rFonts w:ascii="Arial" w:hAnsi="Arial" w:eastAsia="Arial"/>
          <w:b w:val="0"/>
          <w:i w:val="0"/>
          <w:sz w:val="22"/>
        </w:rPr>
        <w:t xml:space="preserve"> a los ciudadanos </w:t>
      </w:r>
      <w:r>
        <w:rPr>
          <w:rFonts w:ascii="Arial" w:hAnsi="Arial" w:eastAsia="Arial"/>
          <w:b/>
          <w:i w:val="0"/>
          <w:sz w:val="22"/>
        </w:rPr>
        <w:t>[___]</w:t>
      </w:r>
      <w:r>
        <w:rPr>
          <w:rFonts w:ascii="Arial" w:hAnsi="Arial" w:eastAsia="Arial"/>
          <w:b w:val="0"/>
          <w:i w:val="0"/>
          <w:sz w:val="22"/>
        </w:rPr>
        <w:t xml:space="preserve">, así como para consultar el expediente electrónico y recibir notificaciones por esa vía a [correo/usuario del Portal de Servicios en Línea],] con el debido respeto comparezco a promover </w:t>
      </w:r>
      <w:r>
        <w:rPr>
          <w:rFonts w:ascii="Arial" w:hAnsi="Arial" w:eastAsia="Arial"/>
          <w:b/>
          <w:i w:val="0"/>
          <w:sz w:val="22"/>
        </w:rPr>
        <w:t>DEMANDA DE AMPARO INDIRECTO</w:t>
      </w:r>
      <w:r>
        <w:rPr>
          <w:rFonts w:ascii="Arial" w:hAnsi="Arial" w:eastAsia="Arial"/>
          <w:b w:val="0"/>
          <w:i w:val="0"/>
          <w:sz w:val="22"/>
        </w:rPr>
        <w:t xml:space="preserve"> contra normas generales con motivo de su primer acto de aplicación, con fundamento en los artículos 103, fracción I, y 107, fracciones I y VII, de la Constitución Política de los Estados Unidos Mexicanos; 1, fracción I, 5, 6, 17, 18, 35, 37, 107, fracción I, 108, 125, 128, 138, 147, 148 y 149 de la </w:t>
      </w:r>
      <w:r>
        <w:rPr>
          <w:rFonts w:ascii="Arial" w:hAnsi="Arial" w:eastAsia="Arial"/>
          <w:b w:val="0"/>
          <w:i w:val="0"/>
          <w:color w:val="0070C0"/>
          <w:sz w:val="22"/>
        </w:rPr>
        <w:t>Ley de Amparo (en adelante "LA")</w:t>
      </w:r>
      <w:r>
        <w:rPr>
          <w:rFonts w:ascii="Arial" w:hAnsi="Arial" w:eastAsia="Arial"/>
          <w:b w:val="0"/>
          <w:i w:val="0"/>
          <w:sz w:val="22"/>
        </w:rPr>
        <w:t>, en los términos siguientes:</w:t>
      </w:r>
    </w:p>
    <w:p>
      <w:pPr>
        <w:jc w:val="both"/>
      </w:pPr>
      <w:r>
        <w:rPr>
          <w:rFonts w:ascii="Arial" w:hAnsi="Arial" w:eastAsia="Arial"/>
          <w:b/>
          <w:i w:val="0"/>
          <w:sz w:val="22"/>
        </w:rPr>
        <w:t>Competencia.</w:t>
      </w:r>
      <w:r>
        <w:rPr>
          <w:rFonts w:ascii="Arial" w:hAnsi="Arial" w:eastAsia="Arial"/>
          <w:b w:val="0"/>
          <w:i w:val="0"/>
          <w:sz w:val="22"/>
        </w:rPr>
        <w:t xml:space="preserve"> [ENCABEZADO A:] Ese Juzgado es competente en términos del artículo 28, último párrafo, de la Constitución y de los artículos 298 y 299 de la LMTR, por reclamarse normas generales y actos en materia de telecomunicaciones, y del artículo 37 de la Ley de Amparo, dada su jurisdicción en toda la República; la deshabilitación reclamada se ejecuta en [ciudad], donde utilizo la línea. [ENCABEZADO B — sustituir por:] </w:t>
      </w:r>
      <w:r>
        <w:rPr>
          <w:rFonts w:ascii="Arial" w:hAnsi="Arial" w:eastAsia="Arial"/>
          <w:b w:val="0"/>
          <w:i/>
          <w:sz w:val="22"/>
        </w:rPr>
        <w:t xml:space="preserve">Ese Juzgado es competente conforme al artículo 37 de la Ley de Amparo, pues el acto reclamado —la deshabilitación de mi línea— se ejecuta en esta ciudad, donde la utilizo; las normas principalmente reclamadas son una ley del Congreso de la Unión y el acto de un particular que la ejecuta, y la litis versa sobre derechos a la privacidad, a la protección de datos y al acceso a las telecomunicaciones de una persona usuaria (por identidad de razón, jurisprudencia </w:t>
      </w:r>
      <w:r>
        <w:rPr>
          <w:rFonts w:ascii="Arial" w:hAnsi="Arial" w:eastAsia="Arial"/>
          <w:b w:val="0"/>
          <w:i/>
          <w:sz w:val="22"/>
        </w:rPr>
        <w:t>XXX.3o. J/1 A (12a.)</w:t>
      </w:r>
      <w:r>
        <w:rPr>
          <w:rFonts w:ascii="Arial" w:hAnsi="Arial" w:eastAsia="Arial"/>
          <w:b w:val="0"/>
          <w:i/>
          <w:sz w:val="22"/>
        </w:rPr>
        <w:t xml:space="preserve">, registro </w:t>
      </w:r>
      <w:r>
        <w:rPr>
          <w:rFonts w:ascii="Arial" w:hAnsi="Arial" w:eastAsia="Arial"/>
          <w:b w:val="0"/>
          <w:i/>
          <w:sz w:val="22"/>
        </w:rPr>
        <w:t>2031960</w:t>
      </w:r>
      <w:r>
        <w:rPr>
          <w:rFonts w:ascii="Arial" w:hAnsi="Arial" w:eastAsia="Arial"/>
          <w:b w:val="0"/>
          <w:i/>
          <w:sz w:val="22"/>
        </w:rPr>
        <w:t>). Para el caso de que ese Juzgado estime que el conocimiento corresponde a los juzgados especializados, solicito la remisión inmediata del asunto en términos del artículo 48 de la Ley de Amparo.</w:t>
      </w:r>
    </w:p>
    <w:p>
      <w:pPr>
        <w:pStyle w:val="Heading2"/>
      </w:pPr>
      <w:r>
        <w:rPr>
          <w:rFonts w:ascii="Arial" w:hAnsi="Arial"/>
          <w:b w:val="0"/>
          <w:color w:val="2E74B5"/>
          <w:sz w:val="26"/>
        </w:rPr>
        <w:t>I. Nombre y domicilio de la persona quejosa (art. 108, fracc. I, LA)</w:t>
      </w:r>
    </w:p>
    <w:p>
      <w:pPr>
        <w:jc w:val="both"/>
      </w:pPr>
      <w:r>
        <w:rPr>
          <w:rFonts w:ascii="Arial" w:hAnsi="Arial" w:eastAsia="Arial"/>
          <w:b/>
          <w:i w:val="0"/>
          <w:sz w:val="22"/>
        </w:rPr>
        <w:t>[NOMBRE]</w:t>
      </w:r>
      <w:r>
        <w:rPr>
          <w:rFonts w:ascii="Arial" w:hAnsi="Arial" w:eastAsia="Arial"/>
          <w:b w:val="0"/>
          <w:i w:val="0"/>
          <w:sz w:val="22"/>
        </w:rPr>
        <w:t xml:space="preserve">, mayor de edad, con domicilio particular en [___], C.P. [___], León, Guanajuato, y domicilio procesal el señalado en el proemio. Soy </w:t>
      </w:r>
      <w:r>
        <w:rPr>
          <w:rFonts w:ascii="Arial" w:hAnsi="Arial" w:eastAsia="Arial"/>
          <w:b/>
          <w:i w:val="0"/>
          <w:sz w:val="22"/>
        </w:rPr>
        <w:t>titular</w:t>
      </w:r>
      <w:r>
        <w:rPr>
          <w:rFonts w:ascii="Arial" w:hAnsi="Arial" w:eastAsia="Arial"/>
          <w:b w:val="0"/>
          <w:i w:val="0"/>
          <w:sz w:val="22"/>
        </w:rPr>
        <w:t xml:space="preserve"> de la línea telefónica móvil número </w:t>
      </w:r>
      <w:r>
        <w:rPr>
          <w:rFonts w:ascii="Arial" w:hAnsi="Arial" w:eastAsia="Arial"/>
          <w:b/>
          <w:i w:val="0"/>
          <w:sz w:val="22"/>
        </w:rPr>
        <w:t>[10 dígitos]</w:t>
      </w:r>
      <w:r>
        <w:rPr>
          <w:rFonts w:ascii="Arial" w:hAnsi="Arial" w:eastAsia="Arial"/>
          <w:b w:val="0"/>
          <w:i w:val="0"/>
          <w:sz w:val="22"/>
        </w:rPr>
        <w:t>, en modalidad de [prepago/pospago], contratada con [razón social del concesionario o comercializadora] (marca comercial "[___]").</w:t>
      </w:r>
    </w:p>
    <w:p>
      <w:pPr>
        <w:pStyle w:val="Heading2"/>
      </w:pPr>
      <w:r>
        <w:rPr>
          <w:rFonts w:ascii="Arial" w:hAnsi="Arial"/>
          <w:b w:val="0"/>
          <w:color w:val="2E74B5"/>
          <w:sz w:val="26"/>
        </w:rPr>
        <w:t>II. Terceras personas interesadas (art. 108, fracc. II, LA)</w:t>
      </w:r>
    </w:p>
    <w:p>
      <w:pPr>
        <w:jc w:val="both"/>
      </w:pPr>
      <w:r>
        <w:rPr>
          <w:rFonts w:ascii="Arial" w:hAnsi="Arial" w:eastAsia="Arial"/>
          <w:b w:val="0"/>
          <w:i w:val="0"/>
          <w:sz w:val="22"/>
        </w:rPr>
        <w:t xml:space="preserve">Bajo protesta de decir verdad, manifiesto que no existe tercera persona interesada distinta de las que a continuación se señalan como autoridades responsables ejecutoras. Para el caso de que ese Juzgado estime que la persona moral prestadora del servicio no reviste el carácter de autoridad responsable, solicito se le tenga como </w:t>
      </w:r>
      <w:r>
        <w:rPr>
          <w:rFonts w:ascii="Arial" w:hAnsi="Arial" w:eastAsia="Arial"/>
          <w:b/>
          <w:i w:val="0"/>
          <w:sz w:val="22"/>
        </w:rPr>
        <w:t>tercera interesada</w:t>
      </w:r>
      <w:r>
        <w:rPr>
          <w:rFonts w:ascii="Arial" w:hAnsi="Arial" w:eastAsia="Arial"/>
          <w:b w:val="0"/>
          <w:i w:val="0"/>
          <w:sz w:val="22"/>
        </w:rPr>
        <w:t xml:space="preserve"> en términos del artículo 5o., fracción III, inciso a), de la Ley de Amparo, por haber ejecutado el acto reclamado, y en todo caso se le vincule al cumplimiento de la suspensión conforme al artículo 149 del mismo ordenamiento.</w:t>
      </w:r>
    </w:p>
    <w:p>
      <w:pPr>
        <w:pStyle w:val="Heading2"/>
      </w:pPr>
      <w:r>
        <w:rPr>
          <w:rFonts w:ascii="Arial" w:hAnsi="Arial"/>
          <w:b w:val="0"/>
          <w:color w:val="2E74B5"/>
          <w:sz w:val="26"/>
        </w:rPr>
        <w:t>III. Autoridades responsables (art. 108, fracc. III, LA)</w:t>
      </w:r>
    </w:p>
    <w:p>
      <w:pPr>
        <w:jc w:val="both"/>
      </w:pPr>
      <w:r>
        <w:rPr>
          <w:rFonts w:ascii="Arial" w:hAnsi="Arial" w:eastAsia="Arial"/>
          <w:b/>
          <w:i w:val="0"/>
          <w:sz w:val="22"/>
        </w:rPr>
        <w:t>Como ordenadoras (normas generales reclamadas):</w:t>
      </w:r>
    </w:p>
    <w:p>
      <w:pPr>
        <w:jc w:val="both"/>
      </w:pPr>
      <w:r>
        <w:rPr>
          <w:rFonts w:ascii="Arial" w:hAnsi="Arial" w:eastAsia="Arial"/>
          <w:b w:val="0"/>
          <w:i w:val="0"/>
          <w:sz w:val="22"/>
        </w:rPr>
        <w:t xml:space="preserve">1.- La </w:t>
      </w:r>
      <w:r>
        <w:rPr>
          <w:rFonts w:ascii="Arial" w:hAnsi="Arial" w:eastAsia="Arial"/>
          <w:b/>
          <w:i w:val="0"/>
          <w:sz w:val="22"/>
        </w:rPr>
        <w:t>CÁMARA DE DIPUTADOS</w:t>
      </w:r>
      <w:r>
        <w:rPr>
          <w:rFonts w:ascii="Arial" w:hAnsi="Arial" w:eastAsia="Arial"/>
          <w:b w:val="0"/>
          <w:i w:val="0"/>
          <w:sz w:val="22"/>
        </w:rPr>
        <w:t xml:space="preserve"> y la </w:t>
      </w:r>
      <w:r>
        <w:rPr>
          <w:rFonts w:ascii="Arial" w:hAnsi="Arial" w:eastAsia="Arial"/>
          <w:b/>
          <w:i w:val="0"/>
          <w:sz w:val="22"/>
        </w:rPr>
        <w:t>CÁMARA DE SENADORES DEL H. CONGRESO DE LA UNIÓN</w:t>
      </w:r>
      <w:r>
        <w:rPr>
          <w:rFonts w:ascii="Arial" w:hAnsi="Arial" w:eastAsia="Arial"/>
          <w:b w:val="0"/>
          <w:i w:val="0"/>
          <w:sz w:val="22"/>
        </w:rPr>
        <w:t xml:space="preserve">, por la expedición del </w:t>
      </w:r>
      <w:r>
        <w:rPr>
          <w:rFonts w:ascii="Arial" w:hAnsi="Arial" w:eastAsia="Arial"/>
          <w:b w:val="0"/>
          <w:i/>
          <w:sz w:val="22"/>
        </w:rPr>
        <w:t>Decreto por el que se expide la Ley en Materia de Telecomunicaciones y Radiodifusión y se abroga la Ley Federal de Telecomunicaciones y Radiodifusión</w:t>
      </w:r>
      <w:r>
        <w:rPr>
          <w:rFonts w:ascii="Arial" w:hAnsi="Arial" w:eastAsia="Arial"/>
          <w:b w:val="0"/>
          <w:i w:val="0"/>
          <w:sz w:val="22"/>
        </w:rPr>
        <w:t xml:space="preserve">, publicado en el Diario Oficial de la Federación el 16 de julio de 2025 (en adelante </w:t>
      </w:r>
      <w:r>
        <w:rPr>
          <w:rFonts w:ascii="Arial" w:hAnsi="Arial" w:eastAsia="Arial"/>
          <w:b w:val="0"/>
          <w:i w:val="0"/>
          <w:color w:val="0070C0"/>
          <w:sz w:val="22"/>
        </w:rPr>
        <w:t>"LMTR"</w:t>
      </w:r>
      <w:r>
        <w:rPr>
          <w:rFonts w:ascii="Arial" w:hAnsi="Arial" w:eastAsia="Arial"/>
          <w:b w:val="0"/>
          <w:i w:val="0"/>
          <w:sz w:val="22"/>
        </w:rPr>
        <w:t>), en específico sus artículos 103, 164, fracción III, y Trigésimo Transitorio, párrafo segundo.</w:t>
      </w:r>
    </w:p>
    <w:p>
      <w:pPr>
        <w:jc w:val="both"/>
      </w:pPr>
      <w:r>
        <w:rPr>
          <w:rFonts w:ascii="Arial" w:hAnsi="Arial" w:eastAsia="Arial"/>
          <w:b w:val="0"/>
          <w:i w:val="0"/>
          <w:sz w:val="22"/>
        </w:rPr>
        <w:t xml:space="preserve">2.- La </w:t>
      </w:r>
      <w:r>
        <w:rPr>
          <w:rFonts w:ascii="Arial" w:hAnsi="Arial" w:eastAsia="Arial"/>
          <w:b/>
          <w:i w:val="0"/>
          <w:sz w:val="22"/>
        </w:rPr>
        <w:t>PRESIDENTA DE LOS ESTADOS UNIDOS MEXICANOS</w:t>
      </w:r>
      <w:r>
        <w:rPr>
          <w:rFonts w:ascii="Arial" w:hAnsi="Arial" w:eastAsia="Arial"/>
          <w:b w:val="0"/>
          <w:i w:val="0"/>
          <w:sz w:val="22"/>
        </w:rPr>
        <w:t xml:space="preserve">, por la promulgación de dicho Decreto. </w:t>
      </w:r>
      <w:r>
        <w:rPr>
          <w:rFonts w:ascii="Arial" w:hAnsi="Arial" w:eastAsia="Arial"/>
          <w:b w:val="0"/>
          <w:i/>
          <w:sz w:val="22"/>
        </w:rPr>
        <w:t>(No se señala a quien refrendó ni publicó, por no reclamarse vicios propios de esos actos —art. 108, fracc. III, LA.)</w:t>
      </w:r>
    </w:p>
    <w:p>
      <w:pPr>
        <w:jc w:val="both"/>
      </w:pPr>
      <w:r>
        <w:rPr>
          <w:rFonts w:ascii="Arial" w:hAnsi="Arial" w:eastAsia="Arial"/>
          <w:b w:val="0"/>
          <w:i w:val="0"/>
          <w:sz w:val="22"/>
        </w:rPr>
        <w:t xml:space="preserve">3.- El </w:t>
      </w:r>
      <w:r>
        <w:rPr>
          <w:rFonts w:ascii="Arial" w:hAnsi="Arial" w:eastAsia="Arial"/>
          <w:b/>
          <w:i w:val="0"/>
          <w:sz w:val="22"/>
        </w:rPr>
        <w:t>PLENO DE LA COMISIÓN REGULADORA DE TELECOMUNICACIONES</w:t>
      </w:r>
      <w:r>
        <w:rPr>
          <w:rFonts w:ascii="Arial" w:hAnsi="Arial" w:eastAsia="Arial"/>
          <w:b w:val="0"/>
          <w:i w:val="0"/>
          <w:sz w:val="22"/>
        </w:rPr>
        <w:t xml:space="preserve"> (en adelante </w:t>
      </w:r>
      <w:r>
        <w:rPr>
          <w:rFonts w:ascii="Arial" w:hAnsi="Arial" w:eastAsia="Arial"/>
          <w:b w:val="0"/>
          <w:i w:val="0"/>
          <w:color w:val="0070C0"/>
          <w:sz w:val="22"/>
        </w:rPr>
        <w:t>"CRT"</w:t>
      </w:r>
      <w:r>
        <w:rPr>
          <w:rFonts w:ascii="Arial" w:hAnsi="Arial" w:eastAsia="Arial"/>
          <w:b w:val="0"/>
          <w:i w:val="0"/>
          <w:sz w:val="22"/>
        </w:rPr>
        <w:t xml:space="preserve">), órgano administrativo desconcentrado de la Agencia de Transformación Digital y Telecomunicaciones, por la emisión de: (a) el </w:t>
      </w:r>
      <w:r>
        <w:rPr>
          <w:rFonts w:ascii="Arial" w:hAnsi="Arial" w:eastAsia="Arial"/>
          <w:b w:val="0"/>
          <w:i/>
          <w:sz w:val="22"/>
        </w:rPr>
        <w:t>Acuerdo mediante el cual el Pleno de la Comisión Reguladora de Telecomunicaciones aprueba y emite los Lineamientos para la Identificación de Líneas Telefónicas Móviles</w:t>
      </w:r>
      <w:r>
        <w:rPr>
          <w:rFonts w:ascii="Arial" w:hAnsi="Arial" w:eastAsia="Arial"/>
          <w:b w:val="0"/>
          <w:i w:val="0"/>
          <w:sz w:val="22"/>
        </w:rPr>
        <w:t xml:space="preserve"> (Acuerdo P/CRT/EXT/08122025/144), publicado en el DOF el 9 de diciembre de 2025 (en adelante </w:t>
      </w:r>
      <w:r>
        <w:rPr>
          <w:rFonts w:ascii="Arial" w:hAnsi="Arial" w:eastAsia="Arial"/>
          <w:b w:val="0"/>
          <w:i w:val="0"/>
          <w:color w:val="0070C0"/>
          <w:sz w:val="22"/>
        </w:rPr>
        <w:t>"los Lineamientos"</w:t>
      </w:r>
      <w:r>
        <w:rPr>
          <w:rFonts w:ascii="Arial" w:hAnsi="Arial" w:eastAsia="Arial"/>
          <w:b w:val="0"/>
          <w:i w:val="0"/>
          <w:sz w:val="22"/>
        </w:rPr>
        <w:t xml:space="preserve">); y (b) el </w:t>
      </w:r>
      <w:r>
        <w:rPr>
          <w:rFonts w:ascii="Arial" w:hAnsi="Arial" w:eastAsia="Arial"/>
          <w:b w:val="0"/>
          <w:i/>
          <w:sz w:val="22"/>
        </w:rPr>
        <w:t>Acuerdo mediante el cual el Pleno de la CRT aprueba y emite la modificación a los Lineamientos para la identificación de líneas telefónicas móviles</w:t>
      </w:r>
      <w:r>
        <w:rPr>
          <w:rFonts w:ascii="Arial" w:hAnsi="Arial" w:eastAsia="Arial"/>
          <w:b w:val="0"/>
          <w:i w:val="0"/>
          <w:sz w:val="22"/>
        </w:rPr>
        <w:t xml:space="preserve"> (Acuerdo P/CRT/EXT/25062026/084), publicado en el DOF el 30 de junio de 2026, edición vespertina (en adelante </w:t>
      </w:r>
      <w:r>
        <w:rPr>
          <w:rFonts w:ascii="Arial" w:hAnsi="Arial" w:eastAsia="Arial"/>
          <w:b w:val="0"/>
          <w:i w:val="0"/>
          <w:color w:val="0070C0"/>
          <w:sz w:val="22"/>
        </w:rPr>
        <w:t>"la Modificación"</w:t>
      </w:r>
      <w:r>
        <w:rPr>
          <w:rFonts w:ascii="Arial" w:hAnsi="Arial" w:eastAsia="Arial"/>
          <w:b w:val="0"/>
          <w:i w:val="0"/>
          <w:sz w:val="22"/>
        </w:rPr>
        <w:t>).</w:t>
      </w:r>
    </w:p>
    <w:p>
      <w:pPr>
        <w:jc w:val="both"/>
      </w:pPr>
      <w:r>
        <w:rPr>
          <w:rFonts w:ascii="Arial" w:hAnsi="Arial" w:eastAsia="Arial"/>
          <w:b/>
          <w:i w:val="0"/>
          <w:sz w:val="22"/>
        </w:rPr>
        <w:t>Como ejecutoras:</w:t>
      </w:r>
    </w:p>
    <w:p>
      <w:pPr>
        <w:jc w:val="both"/>
      </w:pPr>
      <w:r>
        <w:rPr>
          <w:rFonts w:ascii="Arial" w:hAnsi="Arial" w:eastAsia="Arial"/>
          <w:b w:val="0"/>
          <w:i w:val="0"/>
          <w:sz w:val="22"/>
        </w:rPr>
        <w:t xml:space="preserve">4.- La </w:t>
      </w:r>
      <w:r>
        <w:rPr>
          <w:rFonts w:ascii="Arial" w:hAnsi="Arial" w:eastAsia="Arial"/>
          <w:b/>
          <w:i w:val="0"/>
          <w:sz w:val="22"/>
        </w:rPr>
        <w:t>COMISIÓN REGULADORA DE TELECOMUNICACIONES</w:t>
      </w:r>
      <w:r>
        <w:rPr>
          <w:rFonts w:ascii="Arial" w:hAnsi="Arial" w:eastAsia="Arial"/>
          <w:b w:val="0"/>
          <w:i w:val="0"/>
          <w:sz w:val="22"/>
        </w:rPr>
        <w:t xml:space="preserve">, por conducto de su Pleno y de su </w:t>
      </w:r>
      <w:r>
        <w:rPr>
          <w:rFonts w:ascii="Arial" w:hAnsi="Arial" w:eastAsia="Arial"/>
          <w:b/>
          <w:i w:val="0"/>
          <w:sz w:val="22"/>
        </w:rPr>
        <w:t>Dirección General de Supervisión del Cumplimiento</w:t>
      </w:r>
      <w:r>
        <w:rPr>
          <w:rFonts w:ascii="Arial" w:hAnsi="Arial" w:eastAsia="Arial"/>
          <w:b w:val="0"/>
          <w:i w:val="0"/>
          <w:sz w:val="22"/>
        </w:rPr>
        <w:t>, en cuanto emitió la orden general de deshabilitar las líneas no vinculadas (Sexto Transitorio de los Lineamientos y Segundo Transitorio de la Modificación), vigila y sanciona su cumplimiento por los prestadores (arts. 45 a 47 de los Lineamientos) y es la autoridad a la que corresponde, en términos del artículo 149 de la Ley de Amparo, ordenar al particular la paralización de la ejecución.</w:t>
      </w:r>
    </w:p>
    <w:p>
      <w:pPr>
        <w:jc w:val="both"/>
      </w:pPr>
      <w:r>
        <w:rPr>
          <w:rFonts w:ascii="Arial" w:hAnsi="Arial" w:eastAsia="Arial"/>
          <w:b w:val="0"/>
          <w:i w:val="0"/>
          <w:sz w:val="22"/>
        </w:rPr>
        <w:t xml:space="preserve">5.- </w:t>
      </w:r>
      <w:r>
        <w:rPr>
          <w:rFonts w:ascii="Arial" w:hAnsi="Arial" w:eastAsia="Arial"/>
          <w:b/>
          <w:i w:val="0"/>
          <w:sz w:val="22"/>
        </w:rPr>
        <w:t>[RAZÓN SOCIAL DEL CONCESIONARIO / COMERCIALIZADORA]</w:t>
      </w:r>
      <w:r>
        <w:rPr>
          <w:rFonts w:ascii="Arial" w:hAnsi="Arial" w:eastAsia="Arial"/>
          <w:b w:val="0"/>
          <w:i w:val="0"/>
          <w:sz w:val="22"/>
        </w:rPr>
        <w:t xml:space="preserve">, con domicilio en [___], en su carácter de </w:t>
      </w:r>
      <w:r>
        <w:rPr>
          <w:rFonts w:ascii="Arial" w:hAnsi="Arial" w:eastAsia="Arial"/>
          <w:b/>
          <w:i w:val="0"/>
          <w:sz w:val="22"/>
        </w:rPr>
        <w:t>particular que ejecuta materialmente el acto reclamado por mandato de las normas reclamadas</w:t>
      </w:r>
      <w:r>
        <w:rPr>
          <w:rFonts w:ascii="Arial" w:hAnsi="Arial" w:eastAsia="Arial"/>
          <w:b w:val="0"/>
          <w:i w:val="0"/>
          <w:sz w:val="22"/>
        </w:rPr>
        <w:t xml:space="preserve"> (arts. 103 y 164, fracc. III, y Trigésimo Transitorio LMTR; art. 7, fraccs. I y VI, de los Lineamientos), a quien debe vincularse a la suspensión conforme al artículo 149 de la Ley de Amparo y, </w:t>
      </w:r>
      <w:r>
        <w:rPr>
          <w:rFonts w:ascii="Arial" w:hAnsi="Arial" w:eastAsia="Arial"/>
          <w:b w:val="0"/>
          <w:i/>
          <w:sz w:val="22"/>
        </w:rPr>
        <w:t>ad cautelam</w:t>
      </w:r>
      <w:r>
        <w:rPr>
          <w:rFonts w:ascii="Arial" w:hAnsi="Arial" w:eastAsia="Arial"/>
          <w:b w:val="0"/>
          <w:i w:val="0"/>
          <w:sz w:val="22"/>
        </w:rPr>
        <w:t xml:space="preserve">, como autoridad responsable ejecutora en los términos del artículo 5o., fracción II, párrafo segundo, de la misma ley. </w:t>
      </w:r>
      <w:r>
        <w:rPr>
          <w:rFonts w:ascii="Arial" w:hAnsi="Arial" w:eastAsia="Arial"/>
          <w:b w:val="0"/>
          <w:i/>
          <w:sz w:val="22"/>
        </w:rPr>
        <w:t>[Si es comercializadora, añadir:]</w:t>
      </w:r>
      <w:r>
        <w:rPr>
          <w:rFonts w:ascii="Arial" w:hAnsi="Arial" w:eastAsia="Arial"/>
          <w:b w:val="0"/>
          <w:i w:val="0"/>
          <w:sz w:val="22"/>
        </w:rPr>
        <w:t xml:space="preserve"> 6.- </w:t>
      </w:r>
      <w:r>
        <w:rPr>
          <w:rFonts w:ascii="Arial" w:hAnsi="Arial" w:eastAsia="Arial"/>
          <w:b/>
          <w:i w:val="0"/>
          <w:sz w:val="22"/>
        </w:rPr>
        <w:t>[CONCESIONARIO MAYORISTA MÓVIL]</w:t>
      </w:r>
      <w:r>
        <w:rPr>
          <w:rFonts w:ascii="Arial" w:hAnsi="Arial" w:eastAsia="Arial"/>
          <w:b w:val="0"/>
          <w:i w:val="0"/>
          <w:sz w:val="22"/>
        </w:rPr>
        <w:t>, con domicilio en [___], en cuanto opera la red y ejecuta técnicamente la deshabilitación.</w:t>
      </w:r>
    </w:p>
    <w:p>
      <w:pPr>
        <w:jc w:val="both"/>
      </w:pPr>
      <w:r>
        <w:rPr>
          <w:rFonts w:ascii="Arial" w:hAnsi="Arial" w:eastAsia="Arial"/>
          <w:b w:val="0"/>
          <w:i w:val="0"/>
          <w:sz w:val="22"/>
        </w:rPr>
        <w:t xml:space="preserve">El señalamiento </w:t>
      </w:r>
      <w:r>
        <w:rPr>
          <w:rFonts w:ascii="Arial" w:hAnsi="Arial" w:eastAsia="Arial"/>
          <w:b w:val="0"/>
          <w:i/>
          <w:sz w:val="22"/>
        </w:rPr>
        <w:t>ad cautelam</w:t>
      </w:r>
      <w:r>
        <w:rPr>
          <w:rFonts w:ascii="Arial" w:hAnsi="Arial" w:eastAsia="Arial"/>
          <w:b w:val="0"/>
          <w:i w:val="0"/>
          <w:sz w:val="22"/>
        </w:rPr>
        <w:t xml:space="preserve"> de las prestadoras es prudente y no vicia la demanda: los Plenos Regionales han establecido que el </w:t>
      </w:r>
      <w:r>
        <w:rPr>
          <w:rFonts w:ascii="Arial" w:hAnsi="Arial" w:eastAsia="Arial"/>
          <w:b/>
          <w:i w:val="0"/>
          <w:sz w:val="22"/>
        </w:rPr>
        <w:t>auto inicial no es la actuación idónea</w:t>
      </w:r>
      <w:r>
        <w:rPr>
          <w:rFonts w:ascii="Arial" w:hAnsi="Arial" w:eastAsia="Arial"/>
          <w:b w:val="0"/>
          <w:i w:val="0"/>
          <w:sz w:val="22"/>
        </w:rPr>
        <w:t xml:space="preserve"> para decidir si un particular concesionario de un servicio público realiza actos equivalentes a los de autoridad (jurisprudencia </w:t>
      </w:r>
      <w:r>
        <w:rPr>
          <w:rFonts w:ascii="Arial" w:hAnsi="Arial" w:eastAsia="Arial"/>
          <w:b/>
          <w:i w:val="0"/>
          <w:sz w:val="22"/>
        </w:rPr>
        <w:t>PR.A.C.CS. J/17 A (11a.)</w:t>
      </w:r>
      <w:r>
        <w:rPr>
          <w:rFonts w:ascii="Arial" w:hAnsi="Arial" w:eastAsia="Arial"/>
          <w:b w:val="0"/>
          <w:i w:val="0"/>
          <w:sz w:val="22"/>
        </w:rPr>
        <w:t xml:space="preserve">, registro digital </w:t>
      </w:r>
      <w:r>
        <w:rPr>
          <w:rFonts w:ascii="Arial" w:hAnsi="Arial" w:eastAsia="Arial"/>
          <w:b/>
          <w:i w:val="0"/>
          <w:sz w:val="22"/>
        </w:rPr>
        <w:t>2030031</w:t>
      </w:r>
      <w:r>
        <w:rPr>
          <w:rFonts w:ascii="Arial" w:hAnsi="Arial" w:eastAsia="Arial"/>
          <w:b w:val="0"/>
          <w:i w:val="0"/>
          <w:sz w:val="22"/>
        </w:rPr>
        <w:t xml:space="preserve">; en igual sentido, tesis </w:t>
      </w:r>
      <w:r>
        <w:rPr>
          <w:rFonts w:ascii="Arial" w:hAnsi="Arial" w:eastAsia="Arial"/>
          <w:b/>
          <w:i w:val="0"/>
          <w:sz w:val="22"/>
        </w:rPr>
        <w:t>XXIV.1o.44 K (11a.)</w:t>
      </w:r>
      <w:r>
        <w:rPr>
          <w:rFonts w:ascii="Arial" w:hAnsi="Arial" w:eastAsia="Arial"/>
          <w:b w:val="0"/>
          <w:i w:val="0"/>
          <w:sz w:val="22"/>
        </w:rPr>
        <w:t xml:space="preserve">, registro </w:t>
      </w:r>
      <w:r>
        <w:rPr>
          <w:rFonts w:ascii="Arial" w:hAnsi="Arial" w:eastAsia="Arial"/>
          <w:b/>
          <w:i w:val="0"/>
          <w:sz w:val="22"/>
        </w:rPr>
        <w:t>2027069</w:t>
      </w:r>
      <w:r>
        <w:rPr>
          <w:rFonts w:ascii="Arial" w:hAnsi="Arial" w:eastAsia="Arial"/>
          <w:b w:val="0"/>
          <w:i w:val="0"/>
          <w:sz w:val="22"/>
        </w:rPr>
        <w:t>). Con independencia de ese carácter, su intervención en la ejecución del acto las vincula al cumplimiento de la suspensión (art. 149 LA).</w:t>
      </w:r>
    </w:p>
    <w:p>
      <w:pPr>
        <w:pStyle w:val="Heading2"/>
      </w:pPr>
      <w:r>
        <w:rPr>
          <w:rFonts w:ascii="Arial" w:hAnsi="Arial"/>
          <w:b w:val="0"/>
          <w:color w:val="2E74B5"/>
          <w:sz w:val="26"/>
        </w:rPr>
        <w:t>IV. Normas generales y actos reclamados (art. 108, fracc. IV, LA)</w:t>
      </w:r>
    </w:p>
    <w:p>
      <w:pPr>
        <w:jc w:val="both"/>
      </w:pPr>
      <w:r>
        <w:rPr>
          <w:rFonts w:ascii="Arial" w:hAnsi="Arial" w:eastAsia="Arial"/>
          <w:b/>
          <w:i w:val="0"/>
          <w:sz w:val="22"/>
        </w:rPr>
        <w:t>A. Normas generales, reclamadas con motivo de su primer acto de aplicación:</w:t>
      </w:r>
    </w:p>
    <w:p>
      <w:pPr>
        <w:jc w:val="both"/>
      </w:pPr>
      <w:r>
        <w:rPr>
          <w:rFonts w:ascii="Arial" w:hAnsi="Arial" w:eastAsia="Arial"/>
          <w:b w:val="0"/>
          <w:i w:val="0"/>
          <w:sz w:val="22"/>
        </w:rPr>
        <w:t xml:space="preserve">1.- De la </w:t>
      </w:r>
      <w:r>
        <w:rPr>
          <w:rFonts w:ascii="Arial" w:hAnsi="Arial" w:eastAsia="Arial"/>
          <w:b/>
          <w:i w:val="0"/>
          <w:sz w:val="22"/>
        </w:rPr>
        <w:t>LMTR</w:t>
      </w:r>
      <w:r>
        <w:rPr>
          <w:rFonts w:ascii="Arial" w:hAnsi="Arial" w:eastAsia="Arial"/>
          <w:b w:val="0"/>
          <w:i w:val="0"/>
          <w:sz w:val="22"/>
        </w:rPr>
        <w:t xml:space="preserve"> (DOF 16-07-2025): el </w:t>
      </w:r>
      <w:r>
        <w:rPr>
          <w:rFonts w:ascii="Arial" w:hAnsi="Arial" w:eastAsia="Arial"/>
          <w:b/>
          <w:i w:val="0"/>
          <w:sz w:val="22"/>
        </w:rPr>
        <w:t>artículo 103</w:t>
      </w:r>
      <w:r>
        <w:rPr>
          <w:rFonts w:ascii="Arial" w:hAnsi="Arial" w:eastAsia="Arial"/>
          <w:b w:val="0"/>
          <w:i w:val="0"/>
          <w:sz w:val="22"/>
        </w:rPr>
        <w:t xml:space="preserve">, en cuanto dispone que los concesionarios </w:t>
      </w:r>
      <w:r>
        <w:rPr>
          <w:rFonts w:ascii="Arial" w:hAnsi="Arial" w:eastAsia="Arial"/>
          <w:b w:val="0"/>
          <w:i/>
          <w:sz w:val="22"/>
        </w:rPr>
        <w:t>"únicamente podrán activar y mantener activo el servicio de aquellas líneas que estén asociadas a usuarios finales que hayan presentado una identificación oficial conforme a los lineamientos que para tal efecto emita la Comisión"</w:t>
      </w:r>
      <w:r>
        <w:rPr>
          <w:rFonts w:ascii="Arial" w:hAnsi="Arial" w:eastAsia="Arial"/>
          <w:b w:val="0"/>
          <w:i w:val="0"/>
          <w:sz w:val="22"/>
        </w:rPr>
        <w:t xml:space="preserve">, con CURP para personas físicas; el </w:t>
      </w:r>
      <w:r>
        <w:rPr>
          <w:rFonts w:ascii="Arial" w:hAnsi="Arial" w:eastAsia="Arial"/>
          <w:b/>
          <w:i w:val="0"/>
          <w:sz w:val="22"/>
        </w:rPr>
        <w:t>artículo 164, fracción III</w:t>
      </w:r>
      <w:r>
        <w:rPr>
          <w:rFonts w:ascii="Arial" w:hAnsi="Arial" w:eastAsia="Arial"/>
          <w:b w:val="0"/>
          <w:i w:val="0"/>
          <w:sz w:val="22"/>
        </w:rPr>
        <w:t xml:space="preserve">, párrafo primero, que impone la misma obligación a las comercializadoras; y el </w:t>
      </w:r>
      <w:r>
        <w:rPr>
          <w:rFonts w:ascii="Arial" w:hAnsi="Arial" w:eastAsia="Arial"/>
          <w:b/>
          <w:i w:val="0"/>
          <w:sz w:val="22"/>
        </w:rPr>
        <w:t>artículo Trigésimo Transitorio, párrafo segundo</w:t>
      </w:r>
      <w:r>
        <w:rPr>
          <w:rFonts w:ascii="Arial" w:hAnsi="Arial" w:eastAsia="Arial"/>
          <w:b w:val="0"/>
          <w:i w:val="0"/>
          <w:sz w:val="22"/>
        </w:rPr>
        <w:t xml:space="preserve">, del Decreto, en cuanto ordena que </w:t>
      </w:r>
      <w:r>
        <w:rPr>
          <w:rFonts w:ascii="Arial" w:hAnsi="Arial" w:eastAsia="Arial"/>
          <w:b w:val="0"/>
          <w:i/>
          <w:sz w:val="22"/>
        </w:rPr>
        <w:t>"toda línea que no se encuentre asociada a un usuario final identificado será suspendida, y solamente podrá ser utilizada para realizar llamadas a números de emergencia y atención ciudadana"</w:t>
      </w:r>
      <w:r>
        <w:rPr>
          <w:rFonts w:ascii="Arial" w:hAnsi="Arial" w:eastAsia="Arial"/>
          <w:b w:val="0"/>
          <w:i w:val="0"/>
          <w:sz w:val="22"/>
        </w:rPr>
        <w:t>.</w:t>
      </w:r>
    </w:p>
    <w:p>
      <w:pPr>
        <w:jc w:val="both"/>
      </w:pPr>
      <w:r>
        <w:rPr>
          <w:rFonts w:ascii="Arial" w:hAnsi="Arial" w:eastAsia="Arial"/>
          <w:b w:val="0"/>
          <w:i w:val="0"/>
          <w:sz w:val="22"/>
        </w:rPr>
        <w:t xml:space="preserve">2.- De </w:t>
      </w:r>
      <w:r>
        <w:rPr>
          <w:rFonts w:ascii="Arial" w:hAnsi="Arial" w:eastAsia="Arial"/>
          <w:b/>
          <w:i w:val="0"/>
          <w:sz w:val="22"/>
        </w:rPr>
        <w:t>los Lineamientos</w:t>
      </w:r>
      <w:r>
        <w:rPr>
          <w:rFonts w:ascii="Arial" w:hAnsi="Arial" w:eastAsia="Arial"/>
          <w:b w:val="0"/>
          <w:i w:val="0"/>
          <w:sz w:val="22"/>
        </w:rPr>
        <w:t xml:space="preserve"> (DOF 09-12-2025): los artículos </w:t>
      </w:r>
      <w:r>
        <w:rPr>
          <w:rFonts w:ascii="Arial" w:hAnsi="Arial" w:eastAsia="Arial"/>
          <w:b/>
          <w:i w:val="0"/>
          <w:sz w:val="22"/>
        </w:rPr>
        <w:t>2, fracciones IX, XIV, XV y XXXIV</w:t>
      </w:r>
      <w:r>
        <w:rPr>
          <w:rFonts w:ascii="Arial" w:hAnsi="Arial" w:eastAsia="Arial"/>
          <w:b w:val="0"/>
          <w:i w:val="0"/>
          <w:sz w:val="22"/>
        </w:rPr>
        <w:t xml:space="preserve"> (definiciones de desvinculación, línea habilitada/deshabilitada y vinculación como condición para </w:t>
      </w:r>
      <w:r>
        <w:rPr>
          <w:rFonts w:ascii="Arial" w:hAnsi="Arial" w:eastAsia="Arial"/>
          <w:b w:val="0"/>
          <w:i/>
          <w:sz w:val="22"/>
        </w:rPr>
        <w:t>"habilitar o mantener habilitada"</w:t>
      </w:r>
      <w:r>
        <w:rPr>
          <w:rFonts w:ascii="Arial" w:hAnsi="Arial" w:eastAsia="Arial"/>
          <w:b w:val="0"/>
          <w:i w:val="0"/>
          <w:sz w:val="22"/>
        </w:rPr>
        <w:t xml:space="preserve"> una línea); </w:t>
      </w:r>
      <w:r>
        <w:rPr>
          <w:rFonts w:ascii="Arial" w:hAnsi="Arial" w:eastAsia="Arial"/>
          <w:b/>
          <w:i w:val="0"/>
          <w:sz w:val="22"/>
        </w:rPr>
        <w:t>7, fracciones I, VI y XIV</w:t>
      </w:r>
      <w:r>
        <w:rPr>
          <w:rFonts w:ascii="Arial" w:hAnsi="Arial" w:eastAsia="Arial"/>
          <w:b w:val="0"/>
          <w:i w:val="0"/>
          <w:sz w:val="22"/>
        </w:rPr>
        <w:t xml:space="preserve">; </w:t>
      </w:r>
      <w:r>
        <w:rPr>
          <w:rFonts w:ascii="Arial" w:hAnsi="Arial" w:eastAsia="Arial"/>
          <w:b/>
          <w:i w:val="0"/>
          <w:sz w:val="22"/>
        </w:rPr>
        <w:t>12</w:t>
      </w:r>
      <w:r>
        <w:rPr>
          <w:rFonts w:ascii="Arial" w:hAnsi="Arial" w:eastAsia="Arial"/>
          <w:b w:val="0"/>
          <w:i w:val="0"/>
          <w:sz w:val="22"/>
        </w:rPr>
        <w:t xml:space="preserve">; </w:t>
      </w:r>
      <w:r>
        <w:rPr>
          <w:rFonts w:ascii="Arial" w:hAnsi="Arial" w:eastAsia="Arial"/>
          <w:b/>
          <w:i w:val="0"/>
          <w:sz w:val="22"/>
        </w:rPr>
        <w:t>13</w:t>
      </w:r>
      <w:r>
        <w:rPr>
          <w:rFonts w:ascii="Arial" w:hAnsi="Arial" w:eastAsia="Arial"/>
          <w:b w:val="0"/>
          <w:i w:val="0"/>
          <w:sz w:val="22"/>
        </w:rPr>
        <w:t xml:space="preserve">, párrafo segundo; </w:t>
      </w:r>
      <w:r>
        <w:rPr>
          <w:rFonts w:ascii="Arial" w:hAnsi="Arial" w:eastAsia="Arial"/>
          <w:b/>
          <w:i w:val="0"/>
          <w:sz w:val="22"/>
        </w:rPr>
        <w:t>22</w:t>
      </w:r>
      <w:r>
        <w:rPr>
          <w:rFonts w:ascii="Arial" w:hAnsi="Arial" w:eastAsia="Arial"/>
          <w:b w:val="0"/>
          <w:i w:val="0"/>
          <w:sz w:val="22"/>
        </w:rPr>
        <w:t xml:space="preserve">; </w:t>
      </w:r>
      <w:r>
        <w:rPr>
          <w:rFonts w:ascii="Arial" w:hAnsi="Arial" w:eastAsia="Arial"/>
          <w:b/>
          <w:i w:val="0"/>
          <w:sz w:val="22"/>
        </w:rPr>
        <w:t>24, fracción IV</w:t>
      </w:r>
      <w:r>
        <w:rPr>
          <w:rFonts w:ascii="Arial" w:hAnsi="Arial" w:eastAsia="Arial"/>
          <w:b w:val="0"/>
          <w:i w:val="0"/>
          <w:sz w:val="22"/>
        </w:rPr>
        <w:t xml:space="preserve"> (prueba de vida); </w:t>
      </w:r>
      <w:r>
        <w:rPr>
          <w:rFonts w:ascii="Arial" w:hAnsi="Arial" w:eastAsia="Arial"/>
          <w:b/>
          <w:i w:val="0"/>
          <w:sz w:val="22"/>
        </w:rPr>
        <w:t>34, fracción V</w:t>
      </w:r>
      <w:r>
        <w:rPr>
          <w:rFonts w:ascii="Arial" w:hAnsi="Arial" w:eastAsia="Arial"/>
          <w:b w:val="0"/>
          <w:i w:val="0"/>
          <w:sz w:val="22"/>
        </w:rPr>
        <w:t xml:space="preserve">; </w:t>
      </w:r>
      <w:r>
        <w:rPr>
          <w:rFonts w:ascii="Arial" w:hAnsi="Arial" w:eastAsia="Arial"/>
          <w:b/>
          <w:i w:val="0"/>
          <w:sz w:val="22"/>
        </w:rPr>
        <w:t>37</w:t>
      </w:r>
      <w:r>
        <w:rPr>
          <w:rFonts w:ascii="Arial" w:hAnsi="Arial" w:eastAsia="Arial"/>
          <w:b w:val="0"/>
          <w:i w:val="0"/>
          <w:sz w:val="22"/>
        </w:rPr>
        <w:t xml:space="preserve">; y </w:t>
      </w:r>
      <w:r>
        <w:rPr>
          <w:rFonts w:ascii="Arial" w:hAnsi="Arial" w:eastAsia="Arial"/>
          <w:b/>
          <w:i w:val="0"/>
          <w:sz w:val="22"/>
        </w:rPr>
        <w:t>Sexto Transitorio</w:t>
      </w:r>
      <w:r>
        <w:rPr>
          <w:rFonts w:ascii="Arial" w:hAnsi="Arial" w:eastAsia="Arial"/>
          <w:b w:val="0"/>
          <w:i w:val="0"/>
          <w:sz w:val="22"/>
        </w:rPr>
        <w:t xml:space="preserve"> (orden de deshabilitar toda línea no vinculada y avisos por SMS).</w:t>
      </w:r>
    </w:p>
    <w:p>
      <w:pPr>
        <w:jc w:val="both"/>
      </w:pPr>
      <w:r>
        <w:rPr>
          <w:rFonts w:ascii="Arial" w:hAnsi="Arial" w:eastAsia="Arial"/>
          <w:b w:val="0"/>
          <w:i w:val="0"/>
          <w:sz w:val="22"/>
        </w:rPr>
        <w:t xml:space="preserve">3.- De </w:t>
      </w:r>
      <w:r>
        <w:rPr>
          <w:rFonts w:ascii="Arial" w:hAnsi="Arial" w:eastAsia="Arial"/>
          <w:b/>
          <w:i w:val="0"/>
          <w:sz w:val="22"/>
        </w:rPr>
        <w:t>la Modificación</w:t>
      </w:r>
      <w:r>
        <w:rPr>
          <w:rFonts w:ascii="Arial" w:hAnsi="Arial" w:eastAsia="Arial"/>
          <w:b w:val="0"/>
          <w:i w:val="0"/>
          <w:sz w:val="22"/>
        </w:rPr>
        <w:t xml:space="preserve"> (DOF 30-06-2026, vespertina): el artículo </w:t>
      </w:r>
      <w:r>
        <w:rPr>
          <w:rFonts w:ascii="Arial" w:hAnsi="Arial" w:eastAsia="Arial"/>
          <w:b/>
          <w:i w:val="0"/>
          <w:sz w:val="22"/>
        </w:rPr>
        <w:t>Segundo Transitorio</w:t>
      </w:r>
      <w:r>
        <w:rPr>
          <w:rFonts w:ascii="Arial" w:hAnsi="Arial" w:eastAsia="Arial"/>
          <w:b w:val="0"/>
          <w:i w:val="0"/>
          <w:sz w:val="22"/>
        </w:rPr>
        <w:t>, que fija el calendario de deshabilitación por último dígito de la línea, el plazo de 72 horas y el contenido de los avisos por SMS.</w:t>
      </w:r>
    </w:p>
    <w:p>
      <w:pPr>
        <w:jc w:val="both"/>
      </w:pPr>
      <w:r>
        <w:rPr>
          <w:rFonts w:ascii="Arial" w:hAnsi="Arial" w:eastAsia="Arial"/>
          <w:b/>
          <w:i w:val="0"/>
          <w:sz w:val="22"/>
        </w:rPr>
        <w:t>B. Primer acto de aplicación:</w:t>
      </w:r>
    </w:p>
    <w:p>
      <w:pPr>
        <w:jc w:val="both"/>
      </w:pPr>
      <w:r>
        <w:rPr>
          <w:rFonts w:ascii="Arial" w:hAnsi="Arial" w:eastAsia="Arial"/>
          <w:b w:val="0"/>
          <w:i w:val="0"/>
          <w:sz w:val="22"/>
        </w:rPr>
        <w:t xml:space="preserve">«ESCENARIO A» 4.- La </w:t>
      </w:r>
      <w:r>
        <w:rPr>
          <w:rFonts w:ascii="Arial" w:hAnsi="Arial" w:eastAsia="Arial"/>
          <w:b/>
          <w:i w:val="0"/>
          <w:sz w:val="22"/>
        </w:rPr>
        <w:t>deshabilitación (suspensión) del servicio de la línea telefónica móvil número [___]</w:t>
      </w:r>
      <w:r>
        <w:rPr>
          <w:rFonts w:ascii="Arial" w:hAnsi="Arial" w:eastAsia="Arial"/>
          <w:b w:val="0"/>
          <w:i w:val="0"/>
          <w:sz w:val="22"/>
        </w:rPr>
        <w:t xml:space="preserve">, de la que soy titular, ejecutada por [prestadora] a partir del </w:t>
      </w:r>
      <w:r>
        <w:rPr>
          <w:rFonts w:ascii="Arial" w:hAnsi="Arial" w:eastAsia="Arial"/>
          <w:b/>
          <w:i w:val="0"/>
          <w:sz w:val="22"/>
        </w:rPr>
        <w:t>[fecha y hora aproximada]</w:t>
      </w:r>
      <w:r>
        <w:rPr>
          <w:rFonts w:ascii="Arial" w:hAnsi="Arial" w:eastAsia="Arial"/>
          <w:b w:val="0"/>
          <w:i w:val="0"/>
          <w:sz w:val="22"/>
        </w:rPr>
        <w:t xml:space="preserve">, en cumplimiento de las normas reclamadas, por no haber realizado la "vinculación" con mi CURP; con todos sus </w:t>
      </w:r>
      <w:r>
        <w:rPr>
          <w:rFonts w:ascii="Arial" w:hAnsi="Arial" w:eastAsia="Arial"/>
          <w:b/>
          <w:i w:val="0"/>
          <w:sz w:val="22"/>
        </w:rPr>
        <w:t>efectos y consecuencias</w:t>
      </w:r>
      <w:r>
        <w:rPr>
          <w:rFonts w:ascii="Arial" w:hAnsi="Arial" w:eastAsia="Arial"/>
          <w:b w:val="0"/>
          <w:i w:val="0"/>
          <w:sz w:val="22"/>
        </w:rPr>
        <w:t xml:space="preserve">: mantener la línea sin voz, datos ni mensajería, condicionar su rehabilitación a la vinculación, y la eventual </w:t>
      </w:r>
      <w:r>
        <w:rPr>
          <w:rFonts w:ascii="Arial" w:hAnsi="Arial" w:eastAsia="Arial"/>
          <w:b/>
          <w:i w:val="0"/>
          <w:sz w:val="22"/>
        </w:rPr>
        <w:t>baja definitiva del número</w:t>
      </w:r>
      <w:r>
        <w:rPr>
          <w:rFonts w:ascii="Arial" w:hAnsi="Arial" w:eastAsia="Arial"/>
          <w:b w:val="0"/>
          <w:i w:val="0"/>
          <w:sz w:val="22"/>
        </w:rPr>
        <w:t xml:space="preserve"> al término de su "ciclo de vida" (arts. 2, fracc. VI y IX, y 7, fracc. VI, de los Lineamientos).</w:t>
      </w:r>
    </w:p>
    <w:p>
      <w:pPr>
        <w:jc w:val="both"/>
      </w:pPr>
      <w:r>
        <w:rPr>
          <w:rFonts w:ascii="Arial" w:hAnsi="Arial" w:eastAsia="Arial"/>
          <w:b w:val="0"/>
          <w:i w:val="0"/>
          <w:sz w:val="22"/>
        </w:rPr>
        <w:t xml:space="preserve">«ESCENARIO B» 4.- La </w:t>
      </w:r>
      <w:r>
        <w:rPr>
          <w:rFonts w:ascii="Arial" w:hAnsi="Arial" w:eastAsia="Arial"/>
          <w:b/>
          <w:i w:val="0"/>
          <w:sz w:val="22"/>
        </w:rPr>
        <w:t>orden de deshabilitación de la línea telefónica móvil número [___]</w:t>
      </w:r>
      <w:r>
        <w:rPr>
          <w:rFonts w:ascii="Arial" w:hAnsi="Arial" w:eastAsia="Arial"/>
          <w:b w:val="0"/>
          <w:i w:val="0"/>
          <w:sz w:val="22"/>
        </w:rPr>
        <w:t xml:space="preserve">, de la que soy titular, comunicada por [prestadora] mediante mensaje SMS recibido el </w:t>
      </w:r>
      <w:r>
        <w:rPr>
          <w:rFonts w:ascii="Arial" w:hAnsi="Arial" w:eastAsia="Arial"/>
          <w:b/>
          <w:i w:val="0"/>
          <w:sz w:val="22"/>
        </w:rPr>
        <w:t>[fecha]</w:t>
      </w:r>
      <w:r>
        <w:rPr>
          <w:rFonts w:ascii="Arial" w:hAnsi="Arial" w:eastAsia="Arial"/>
          <w:b w:val="0"/>
          <w:i w:val="0"/>
          <w:sz w:val="22"/>
        </w:rPr>
        <w:t xml:space="preserve"> con la leyenda </w:t>
      </w:r>
      <w:r>
        <w:rPr>
          <w:rFonts w:ascii="Arial" w:hAnsi="Arial" w:eastAsia="Arial"/>
          <w:b w:val="0"/>
          <w:i/>
          <w:sz w:val="22"/>
        </w:rPr>
        <w:t>"La fecha limite para vincular tu linea ha vencido y sera suspendida en las proximas 72 horas…"</w:t>
      </w:r>
      <w:r>
        <w:rPr>
          <w:rFonts w:ascii="Arial" w:hAnsi="Arial" w:eastAsia="Arial"/>
          <w:b w:val="0"/>
          <w:i w:val="0"/>
          <w:sz w:val="22"/>
        </w:rPr>
        <w:t xml:space="preserve"> [o, en su caso, los avisos previos </w:t>
      </w:r>
      <w:r>
        <w:rPr>
          <w:rFonts w:ascii="Arial" w:hAnsi="Arial" w:eastAsia="Arial"/>
          <w:b w:val="0"/>
          <w:i/>
          <w:sz w:val="22"/>
        </w:rPr>
        <w:t>"Por disposicion oficial, la fecha limite para vincular tu linea es hasta el DD-MM-AAAA…"</w:t>
      </w:r>
      <w:r>
        <w:rPr>
          <w:rFonts w:ascii="Arial" w:hAnsi="Arial" w:eastAsia="Arial"/>
          <w:b w:val="0"/>
          <w:i w:val="0"/>
          <w:sz w:val="22"/>
        </w:rPr>
        <w:t xml:space="preserve">], acto de </w:t>
      </w:r>
      <w:r>
        <w:rPr>
          <w:rFonts w:ascii="Arial" w:hAnsi="Arial" w:eastAsia="Arial"/>
          <w:b/>
          <w:i w:val="0"/>
          <w:sz w:val="22"/>
        </w:rPr>
        <w:t>inminente ejecución</w:t>
      </w:r>
      <w:r>
        <w:rPr>
          <w:rFonts w:ascii="Arial" w:hAnsi="Arial" w:eastAsia="Arial"/>
          <w:b w:val="0"/>
          <w:i w:val="0"/>
          <w:sz w:val="22"/>
        </w:rPr>
        <w:t xml:space="preserve"> en términos del artículo 128, fracción I, de la Ley de Amparo, así como su ejecución material y todos sus efectos y consecuencias.</w:t>
      </w:r>
    </w:p>
    <w:p>
      <w:pPr>
        <w:pStyle w:val="Heading2"/>
      </w:pPr>
      <w:r>
        <w:rPr>
          <w:rFonts w:ascii="Arial" w:hAnsi="Arial"/>
          <w:b w:val="0"/>
          <w:color w:val="2E74B5"/>
          <w:sz w:val="26"/>
        </w:rPr>
        <w:t>V. Hechos (art. 108, fracc. V, LA — bajo protesta de decir verdad)</w:t>
      </w:r>
    </w:p>
    <w:p>
      <w:pPr>
        <w:jc w:val="both"/>
      </w:pPr>
      <w:r>
        <w:rPr>
          <w:rFonts w:ascii="Arial" w:hAnsi="Arial" w:eastAsia="Arial"/>
          <w:b w:val="0"/>
          <w:i w:val="0"/>
          <w:sz w:val="22"/>
        </w:rPr>
        <w:t xml:space="preserve">1.- Soy titular y usuario/a de la línea telefónica móvil </w:t>
      </w:r>
      <w:r>
        <w:rPr>
          <w:rFonts w:ascii="Arial" w:hAnsi="Arial" w:eastAsia="Arial"/>
          <w:b/>
          <w:i w:val="0"/>
          <w:sz w:val="22"/>
        </w:rPr>
        <w:t>[número]</w:t>
      </w:r>
      <w:r>
        <w:rPr>
          <w:rFonts w:ascii="Arial" w:hAnsi="Arial" w:eastAsia="Arial"/>
          <w:b w:val="0"/>
          <w:i w:val="0"/>
          <w:sz w:val="22"/>
        </w:rPr>
        <w:t>, contratada con [prestadora] desde [fecha aproximada / "hace más de ___ años"], en modalidad de [prepago/pospago], la cual he pagado y utilizado ininterrumpidamente para mi comunicación personal, familiar y de trabajo, para recibir códigos de autenticación bancaria y de servicios, y como medio de contacto ante emergencias. [Si aplica: la línea está asociada a mi actividad profesional/comercial de ___.]</w:t>
      </w:r>
    </w:p>
    <w:p>
      <w:pPr>
        <w:jc w:val="both"/>
      </w:pPr>
      <w:r>
        <w:rPr>
          <w:rFonts w:ascii="Arial" w:hAnsi="Arial" w:eastAsia="Arial"/>
          <w:b w:val="0"/>
          <w:i w:val="0"/>
          <w:sz w:val="22"/>
        </w:rPr>
        <w:t xml:space="preserve">2.- El 16 de julio de 2025 se publicó en el DOF la LMTR; el 9 de diciembre de 2025 los Lineamientos, conforme a los cuales la vinculación de líneas inició el 9 de enero de 2026, y el 30 de junio de 2026 (edición vespertina) su Modificación. Conforme a esas normas, se me exigió "vincular" mi línea con mi CURP e identificación oficial ante la prestadora, mediante un proceso presencial o remoto que, en la modalidad remota, incluye la captura de la identificación y una </w:t>
      </w:r>
      <w:r>
        <w:rPr>
          <w:rFonts w:ascii="Arial" w:hAnsi="Arial" w:eastAsia="Arial"/>
          <w:b/>
          <w:i w:val="0"/>
          <w:sz w:val="22"/>
        </w:rPr>
        <w:t>"prueba de vida"</w:t>
      </w:r>
      <w:r>
        <w:rPr>
          <w:rFonts w:ascii="Arial" w:hAnsi="Arial" w:eastAsia="Arial"/>
          <w:b w:val="0"/>
          <w:i w:val="0"/>
          <w:sz w:val="22"/>
        </w:rPr>
        <w:t xml:space="preserve"> (art. 24, fracc. IV, de los Lineamientos), bajo el apercibimiento de que, de no hacerlo, la línea sería deshabilitada.</w:t>
      </w:r>
    </w:p>
    <w:p>
      <w:pPr>
        <w:jc w:val="both"/>
      </w:pPr>
      <w:r>
        <w:rPr>
          <w:rFonts w:ascii="Arial" w:hAnsi="Arial" w:eastAsia="Arial"/>
          <w:b w:val="0"/>
          <w:i w:val="0"/>
          <w:sz w:val="22"/>
        </w:rPr>
        <w:t xml:space="preserve">3.- A partir de [mes] de 2026 recibí en dicha línea mensajes SMS de [prestadora] que me recordaban la fecha límite de vinculación, con la leyenda </w:t>
      </w:r>
      <w:r>
        <w:rPr>
          <w:rFonts w:ascii="Arial" w:hAnsi="Arial" w:eastAsia="Arial"/>
          <w:b w:val="0"/>
          <w:i/>
          <w:sz w:val="22"/>
        </w:rPr>
        <w:t>"[transcribir literal: Por disposicion oficial, la fecha limite para vincular tu linea es hasta el DD-MM-AAAA…]"</w:t>
      </w:r>
      <w:r>
        <w:rPr>
          <w:rFonts w:ascii="Arial" w:hAnsi="Arial" w:eastAsia="Arial"/>
          <w:b w:val="0"/>
          <w:i w:val="0"/>
          <w:sz w:val="22"/>
        </w:rPr>
        <w:t xml:space="preserve">. Esos mensajes eran meros </w:t>
      </w:r>
      <w:r>
        <w:rPr>
          <w:rFonts w:ascii="Arial" w:hAnsi="Arial" w:eastAsia="Arial"/>
          <w:b/>
          <w:i w:val="0"/>
          <w:sz w:val="22"/>
        </w:rPr>
        <w:t>avisos informativos del plazo</w:t>
      </w:r>
      <w:r>
        <w:rPr>
          <w:rFonts w:ascii="Arial" w:hAnsi="Arial" w:eastAsia="Arial"/>
          <w:b w:val="0"/>
          <w:i w:val="0"/>
          <w:sz w:val="22"/>
        </w:rPr>
        <w:t xml:space="preserve">, no me privaron de nada ni me impusieron consecuencia alguna. El </w:t>
      </w:r>
      <w:r>
        <w:rPr>
          <w:rFonts w:ascii="Arial" w:hAnsi="Arial" w:eastAsia="Arial"/>
          <w:b/>
          <w:i w:val="0"/>
          <w:sz w:val="22"/>
        </w:rPr>
        <w:t>[fecha]</w:t>
      </w:r>
      <w:r>
        <w:rPr>
          <w:rFonts w:ascii="Arial" w:hAnsi="Arial" w:eastAsia="Arial"/>
          <w:b w:val="0"/>
          <w:i w:val="0"/>
          <w:sz w:val="22"/>
        </w:rPr>
        <w:t xml:space="preserve"> recibí el mensaje </w:t>
      </w:r>
      <w:r>
        <w:rPr>
          <w:rFonts w:ascii="Arial" w:hAnsi="Arial" w:eastAsia="Arial"/>
          <w:b w:val="0"/>
          <w:i/>
          <w:sz w:val="22"/>
        </w:rPr>
        <w:t>"[transcribir literal: La fecha limite para vincular tu linea ha vencido y sera suspendida en las proximas 72 horas…]"</w:t>
      </w:r>
      <w:r>
        <w:rPr>
          <w:rFonts w:ascii="Arial" w:hAnsi="Arial" w:eastAsia="Arial"/>
          <w:b w:val="0"/>
          <w:i w:val="0"/>
          <w:sz w:val="22"/>
        </w:rPr>
        <w:t>, que es el primer acto que anunció la aplicación concreta de la consecuencia prevista en las normas reclamadas a mi línea.</w:t>
      </w:r>
    </w:p>
    <w:p>
      <w:pPr>
        <w:jc w:val="both"/>
      </w:pPr>
      <w:r>
        <w:rPr>
          <w:rFonts w:ascii="Arial" w:hAnsi="Arial" w:eastAsia="Arial"/>
          <w:b w:val="0"/>
          <w:i w:val="0"/>
          <w:sz w:val="22"/>
        </w:rPr>
        <w:t>4.- No he realizado la vinculación, porque no estoy de acuerdo en entregar mis datos personales —incluida mi CURP, que por disposición del artículo 91 Bis de la Ley General de Población está llamada a integrarse con datos biométricos— ni en someterme a una prueba de vida como condición para conservar un servicio que ya tengo contratado y pagado.</w:t>
      </w:r>
    </w:p>
    <w:p>
      <w:pPr>
        <w:jc w:val="both"/>
      </w:pPr>
      <w:r>
        <w:rPr>
          <w:rFonts w:ascii="Arial" w:hAnsi="Arial" w:eastAsia="Arial"/>
          <w:b w:val="0"/>
          <w:i w:val="0"/>
          <w:sz w:val="22"/>
        </w:rPr>
        <w:t xml:space="preserve">«ESCENARIO A» 5.- El </w:t>
      </w:r>
      <w:r>
        <w:rPr>
          <w:rFonts w:ascii="Arial" w:hAnsi="Arial" w:eastAsia="Arial"/>
          <w:b/>
          <w:i w:val="0"/>
          <w:sz w:val="22"/>
        </w:rPr>
        <w:t>[fecha]</w:t>
      </w:r>
      <w:r>
        <w:rPr>
          <w:rFonts w:ascii="Arial" w:hAnsi="Arial" w:eastAsia="Arial"/>
          <w:b w:val="0"/>
          <w:i w:val="0"/>
          <w:sz w:val="22"/>
        </w:rPr>
        <w:t>, aproximadamente a las [hora], la línea dejó de tener servicio: no puedo realizar ni recibir llamadas ni mensajes ni usar datos móviles; [al intentar llamar se escucha el mensaje "___" / la aplicación de la prestadora muestra la leyenda "___"]. Ese día tuve conocimiento del acto reclamado. La deshabilitación no me fue notificada por escrito, ni fundada ni motivada, ni precedida de audiencia alguna.</w:t>
      </w:r>
    </w:p>
    <w:p>
      <w:pPr>
        <w:jc w:val="both"/>
      </w:pPr>
      <w:r>
        <w:rPr>
          <w:rFonts w:ascii="Arial" w:hAnsi="Arial" w:eastAsia="Arial"/>
          <w:b w:val="0"/>
          <w:i w:val="0"/>
          <w:sz w:val="22"/>
        </w:rPr>
        <w:t xml:space="preserve">«ESCENARIO B» 5.- La fecha límite del calendario para mi terminación numérica ([dígito]) es el </w:t>
      </w:r>
      <w:r>
        <w:rPr>
          <w:rFonts w:ascii="Arial" w:hAnsi="Arial" w:eastAsia="Arial"/>
          <w:b/>
          <w:i w:val="0"/>
          <w:sz w:val="22"/>
        </w:rPr>
        <w:t>[fecha]</w:t>
      </w:r>
      <w:r>
        <w:rPr>
          <w:rFonts w:ascii="Arial" w:hAnsi="Arial" w:eastAsia="Arial"/>
          <w:b w:val="0"/>
          <w:i w:val="0"/>
          <w:sz w:val="22"/>
        </w:rPr>
        <w:t>, de modo que la deshabilitación es cierta e inminente: la propia Modificación ordena ejecutarla dentro de las 72 horas siguientes.</w:t>
      </w:r>
    </w:p>
    <w:p>
      <w:pPr>
        <w:jc w:val="both"/>
      </w:pPr>
      <w:r>
        <w:rPr>
          <w:rFonts w:ascii="Arial" w:hAnsi="Arial" w:eastAsia="Arial"/>
          <w:b w:val="0"/>
          <w:i w:val="0"/>
          <w:sz w:val="22"/>
        </w:rPr>
        <w:t xml:space="preserve">6.- Esta demanda se presenta dentro de los </w:t>
      </w:r>
      <w:r>
        <w:rPr>
          <w:rFonts w:ascii="Arial" w:hAnsi="Arial" w:eastAsia="Arial"/>
          <w:b/>
          <w:i w:val="0"/>
          <w:sz w:val="22"/>
        </w:rPr>
        <w:t>quince días</w:t>
      </w:r>
      <w:r>
        <w:rPr>
          <w:rFonts w:ascii="Arial" w:hAnsi="Arial" w:eastAsia="Arial"/>
          <w:b w:val="0"/>
          <w:i w:val="0"/>
          <w:sz w:val="22"/>
        </w:rPr>
        <w:t xml:space="preserve"> siguientes al día en que recibí el aviso de suspensión en 72 horas [y/o en que la línea quedó deshabilitada] (arts. 17, párr. 1, y 18 LA), de modo que es oportuna bajo cualquier cómputo: los mensajes anteriores fueron recordatorios generales del plazo que no aplicaron la norma en mi perjuicio ni me causaron afectación alguna; el primer acto de aplicación fue el aviso individualizado de suspensión y su ejecución. Que el acto de aplicación provenga de un particular no obsta para tenerlo como tal: por identidad de razón, la Segunda Sala ha reconocido que la aplicación de la ley puede provenir de la conducta de un particular y servir de base para computar el plazo del amparo (jurisprudencia </w:t>
      </w:r>
      <w:r>
        <w:rPr>
          <w:rFonts w:ascii="Arial" w:hAnsi="Arial" w:eastAsia="Arial"/>
          <w:b/>
          <w:i w:val="0"/>
          <w:sz w:val="22"/>
        </w:rPr>
        <w:t>2a./J. 153/2007</w:t>
      </w:r>
      <w:r>
        <w:rPr>
          <w:rFonts w:ascii="Arial" w:hAnsi="Arial" w:eastAsia="Arial"/>
          <w:b w:val="0"/>
          <w:i w:val="0"/>
          <w:sz w:val="22"/>
        </w:rPr>
        <w:t xml:space="preserve">, registro </w:t>
      </w:r>
      <w:r>
        <w:rPr>
          <w:rFonts w:ascii="Arial" w:hAnsi="Arial" w:eastAsia="Arial"/>
          <w:b/>
          <w:i w:val="0"/>
          <w:sz w:val="22"/>
        </w:rPr>
        <w:t>171860</w:t>
      </w:r>
      <w:r>
        <w:rPr>
          <w:rFonts w:ascii="Arial" w:hAnsi="Arial" w:eastAsia="Arial"/>
          <w:b w:val="0"/>
          <w:i w:val="0"/>
          <w:sz w:val="22"/>
        </w:rPr>
        <w:t>, relativa a la autoliquidación de contribuciones).</w:t>
      </w:r>
    </w:p>
    <w:p>
      <w:pPr>
        <w:pStyle w:val="Heading2"/>
      </w:pPr>
      <w:r>
        <w:rPr>
          <w:rFonts w:ascii="Arial" w:hAnsi="Arial"/>
          <w:b w:val="0"/>
          <w:color w:val="2E74B5"/>
          <w:sz w:val="26"/>
        </w:rPr>
        <w:t>VI. Preceptos constitucionales y convencionales violados (art. 108, fracc. VI, LA)</w:t>
      </w:r>
    </w:p>
    <w:p>
      <w:pPr>
        <w:jc w:val="both"/>
      </w:pPr>
      <w:r>
        <w:rPr>
          <w:rFonts w:ascii="Arial" w:hAnsi="Arial" w:eastAsia="Arial"/>
          <w:b w:val="0"/>
          <w:i w:val="0"/>
          <w:sz w:val="22"/>
        </w:rPr>
        <w:t xml:space="preserve">Artículos </w:t>
      </w:r>
      <w:r>
        <w:rPr>
          <w:rFonts w:ascii="Arial" w:hAnsi="Arial" w:eastAsia="Arial"/>
          <w:b/>
          <w:i w:val="0"/>
          <w:sz w:val="22"/>
        </w:rPr>
        <w:t>1o., 6o. (párrafos segundo y tercero), 7o., 14, 16 (párrafos primero, segundo y decimosegundo), 17 y 20, apartado B, fracción I</w:t>
      </w:r>
      <w:r>
        <w:rPr>
          <w:rFonts w:ascii="Arial" w:hAnsi="Arial" w:eastAsia="Arial"/>
          <w:b w:val="0"/>
          <w:i w:val="0"/>
          <w:sz w:val="22"/>
        </w:rPr>
        <w:t xml:space="preserve">, de la Constitución Política de los Estados Unidos Mexicanos; </w:t>
      </w:r>
      <w:r>
        <w:rPr>
          <w:rFonts w:ascii="Arial" w:hAnsi="Arial" w:eastAsia="Arial"/>
          <w:b/>
          <w:i w:val="0"/>
          <w:sz w:val="22"/>
        </w:rPr>
        <w:t>1, 11, 13 y 25</w:t>
      </w:r>
      <w:r>
        <w:rPr>
          <w:rFonts w:ascii="Arial" w:hAnsi="Arial" w:eastAsia="Arial"/>
          <w:b w:val="0"/>
          <w:i w:val="0"/>
          <w:sz w:val="22"/>
        </w:rPr>
        <w:t xml:space="preserve"> de la Convención Americana sobre Derechos Humanos; </w:t>
      </w:r>
      <w:r>
        <w:rPr>
          <w:rFonts w:ascii="Arial" w:hAnsi="Arial" w:eastAsia="Arial"/>
          <w:b/>
          <w:i w:val="0"/>
          <w:sz w:val="22"/>
        </w:rPr>
        <w:t>17 y 19</w:t>
      </w:r>
      <w:r>
        <w:rPr>
          <w:rFonts w:ascii="Arial" w:hAnsi="Arial" w:eastAsia="Arial"/>
          <w:b w:val="0"/>
          <w:i w:val="0"/>
          <w:sz w:val="22"/>
        </w:rPr>
        <w:t xml:space="preserve"> del Pacto Internacional de Derechos Civiles y Políticos.</w:t>
      </w:r>
    </w:p>
    <w:p>
      <w:pPr>
        <w:pStyle w:val="Heading2"/>
      </w:pPr>
      <w:r>
        <w:rPr>
          <w:rFonts w:ascii="Arial" w:hAnsi="Arial"/>
          <w:b w:val="0"/>
          <w:color w:val="2E74B5"/>
          <w:sz w:val="26"/>
        </w:rPr>
        <w:t>VII. Conceptos de violación (art. 108, fracc. VIII, LA)</w:t>
      </w:r>
    </w:p>
    <w:p>
      <w:pPr>
        <w:jc w:val="both"/>
      </w:pPr>
      <w:r>
        <w:rPr>
          <w:rFonts w:ascii="Arial" w:hAnsi="Arial" w:eastAsia="Arial"/>
          <w:b/>
          <w:i w:val="0"/>
          <w:sz w:val="22"/>
        </w:rPr>
        <w:t>PRIMERO. Las normas reclamadas imponen una obligación indistinta y generalizada de identificación de toda persona usuaria de telefonía móvil, bajo pena de privación del servicio, que no supera el test de proporcionalidad y viola los derechos a la privacidad, a la protección de datos personales y a la autodeterminación informativa (arts. 6o. y 16 CPEUM; 11 CADH; 17 PIDCP).</w:t>
      </w:r>
    </w:p>
    <w:p>
      <w:pPr>
        <w:ind w:left="425"/>
        <w:jc w:val="both"/>
      </w:pPr>
      <w:r>
        <w:rPr>
          <w:rFonts w:ascii="Arial" w:hAnsi="Arial" w:eastAsia="Arial"/>
          <w:b w:val="0"/>
          <w:i w:val="0"/>
          <w:sz w:val="22"/>
        </w:rPr>
        <w:t xml:space="preserve">a) El Pleno de la Suprema Corte de Justicia de la Nación ya juzgó un sistema normativo de la misma naturaleza. En la </w:t>
      </w:r>
      <w:r>
        <w:rPr>
          <w:rFonts w:ascii="Arial" w:hAnsi="Arial" w:eastAsia="Arial"/>
          <w:b/>
          <w:i w:val="0"/>
          <w:sz w:val="22"/>
        </w:rPr>
        <w:t>acción de inconstitucionalidad 82/2021 y su acumulada 86/2021</w:t>
      </w:r>
      <w:r>
        <w:rPr>
          <w:rFonts w:ascii="Arial" w:hAnsi="Arial" w:eastAsia="Arial"/>
          <w:b w:val="0"/>
          <w:i w:val="0"/>
          <w:sz w:val="22"/>
        </w:rPr>
        <w:t xml:space="preserve">, resuelta el 25 y 26 de abril de 2022 (sentencia publicada en el DOF el 12 de diciembre de 2022), declaró la invalidez total del Padrón Nacional de Usuarios de Telefonía Móvil (PANAUT). Su razón central no fue únicamente la biometría: fue que </w:t>
      </w:r>
      <w:r>
        <w:rPr>
          <w:rFonts w:ascii="Arial" w:hAnsi="Arial" w:eastAsia="Arial"/>
          <w:b/>
          <w:i w:val="0"/>
          <w:color w:val="EE0000"/>
          <w:sz w:val="22"/>
        </w:rPr>
        <w:t>*"una obligación indistinta y generalizada de recabar y conservar información privada e íntima, así como datos personales y sensibles de todos los usuarios de telefonía móvil infringe desproporcionadamente los derechos fundamentales a la privacidad, intimidad y protección de datos personales y resulta incompatible con las exigencias y estándares que impone una sociedad democrática"*</w:t>
      </w:r>
      <w:r>
        <w:rPr>
          <w:rFonts w:ascii="Arial" w:hAnsi="Arial" w:eastAsia="Arial"/>
          <w:b w:val="0"/>
          <w:i w:val="0"/>
          <w:sz w:val="22"/>
        </w:rPr>
        <w:t xml:space="preserve"> (párr. 422). Y, en concreto, la medida </w:t>
      </w:r>
      <w:r>
        <w:rPr>
          <w:rFonts w:ascii="Arial" w:hAnsi="Arial" w:eastAsia="Arial"/>
          <w:b/>
          <w:i w:val="0"/>
          <w:sz w:val="22"/>
        </w:rPr>
        <w:t>no superó la grada de necesidad</w:t>
      </w:r>
      <w:r>
        <w:rPr>
          <w:rFonts w:ascii="Arial" w:hAnsi="Arial" w:eastAsia="Arial"/>
          <w:b w:val="0"/>
          <w:i w:val="0"/>
          <w:sz w:val="22"/>
        </w:rPr>
        <w:t xml:space="preserve">, porque el orden jurídico ya preveía herramientas igualmente idóneas y menos lesivas: la localización geográfica en tiempo real, la conservación y entrega de datos por los concesionarios —incluidos nombre y domicilio del suscriptor— y la intervención de comunicaciones, todas sujetas a control judicial y a temporalidad (párrs. 383-392). La Corte se preguntó textualmente: </w:t>
      </w:r>
      <w:r>
        <w:rPr>
          <w:rFonts w:ascii="Arial" w:hAnsi="Arial" w:eastAsia="Arial"/>
          <w:b w:val="0"/>
          <w:i/>
          <w:sz w:val="22"/>
        </w:rPr>
        <w:t>"¿realmente resultaba necesario para combatir la delincuencia el recopilar de forma generalizada, conservar por tiempo indefinido y entregar al Estado la información privada y los datos personales de todos los titulares […] de una línea de telefonía móvil?"</w:t>
      </w:r>
      <w:r>
        <w:rPr>
          <w:rFonts w:ascii="Arial" w:hAnsi="Arial" w:eastAsia="Arial"/>
          <w:b w:val="0"/>
          <w:i w:val="0"/>
          <w:sz w:val="22"/>
        </w:rPr>
        <w:t xml:space="preserve"> y respondió que </w:t>
      </w:r>
      <w:r>
        <w:rPr>
          <w:rFonts w:ascii="Arial" w:hAnsi="Arial" w:eastAsia="Arial"/>
          <w:b/>
          <w:i w:val="0"/>
          <w:sz w:val="22"/>
        </w:rPr>
        <w:t>no</w:t>
      </w:r>
      <w:r>
        <w:rPr>
          <w:rFonts w:ascii="Arial" w:hAnsi="Arial" w:eastAsia="Arial"/>
          <w:b w:val="0"/>
          <w:i w:val="0"/>
          <w:sz w:val="22"/>
        </w:rPr>
        <w:t xml:space="preserve"> (párrs. 390-391), recordando además el antecedente del RENAUT, </w:t>
      </w:r>
      <w:r>
        <w:rPr>
          <w:rFonts w:ascii="Arial" w:hAnsi="Arial" w:eastAsia="Arial"/>
          <w:b w:val="0"/>
          <w:i/>
          <w:sz w:val="22"/>
        </w:rPr>
        <w:t>"cuya normativa se derogó a causa de la desconfianza y tras confirmarse que era ineficaz para alcanzar los objetivos buscados; incluso las bases de datos fueron vulneradas y comercializadas"</w:t>
      </w:r>
      <w:r>
        <w:rPr>
          <w:rFonts w:ascii="Arial" w:hAnsi="Arial" w:eastAsia="Arial"/>
          <w:b w:val="0"/>
          <w:i w:val="0"/>
          <w:sz w:val="22"/>
        </w:rPr>
        <w:t>.</w:t>
      </w:r>
    </w:p>
    <w:p>
      <w:pPr>
        <w:ind w:left="425"/>
        <w:jc w:val="both"/>
      </w:pPr>
      <w:r>
        <w:rPr>
          <w:rFonts w:ascii="Arial" w:hAnsi="Arial" w:eastAsia="Arial"/>
          <w:b w:val="0"/>
          <w:i w:val="0"/>
          <w:sz w:val="22"/>
        </w:rPr>
        <w:t xml:space="preserve">b) El sistema aquí reclamado reproduce el mismo diseño y la misma desproporción, con dos agravantes. </w:t>
      </w:r>
      <w:r>
        <w:rPr>
          <w:rFonts w:ascii="Arial" w:hAnsi="Arial" w:eastAsia="Arial"/>
          <w:b/>
          <w:i w:val="0"/>
          <w:sz w:val="22"/>
        </w:rPr>
        <w:t>Primera:</w:t>
      </w:r>
      <w:r>
        <w:rPr>
          <w:rFonts w:ascii="Arial" w:hAnsi="Arial" w:eastAsia="Arial"/>
          <w:b w:val="0"/>
          <w:i w:val="0"/>
          <w:sz w:val="22"/>
        </w:rPr>
        <w:t xml:space="preserve"> las herramientas alternativas que la Corte tuvo por igualmente idóneas y menos lesivas subsisten íntegras en la propia LMTR (artículos 182 y 183: colaboración con la justicia, localización geográfica en tiempo real, conservación de datos por veinticuatro meses con nombre y domicilio del suscriptor, y entrega a las autoridades) y en el artículo 303 del Código Nacional de Procedimientos Penales; de modo que la nueva obligación general de identificación es tan innecesaria hoy como lo era el PANAUT en 2022. </w:t>
      </w:r>
      <w:r>
        <w:rPr>
          <w:rFonts w:ascii="Arial" w:hAnsi="Arial" w:eastAsia="Arial"/>
          <w:b/>
          <w:i w:val="0"/>
          <w:sz w:val="22"/>
        </w:rPr>
        <w:t>Segunda:</w:t>
      </w:r>
      <w:r>
        <w:rPr>
          <w:rFonts w:ascii="Arial" w:hAnsi="Arial" w:eastAsia="Arial"/>
          <w:b w:val="0"/>
          <w:i w:val="0"/>
          <w:sz w:val="22"/>
        </w:rPr>
        <w:t xml:space="preserve"> la sanción es más grave que la del PANAUT, porque no consiste en una multa ni en la imposibilidad de contratar líneas nuevas, sino en la </w:t>
      </w:r>
      <w:r>
        <w:rPr>
          <w:rFonts w:ascii="Arial" w:hAnsi="Arial" w:eastAsia="Arial"/>
          <w:b/>
          <w:i w:val="0"/>
          <w:color w:val="EE0000"/>
          <w:sz w:val="22"/>
        </w:rPr>
        <w:t>privación total del servicio ya contratado y pagado</w:t>
      </w:r>
      <w:r>
        <w:rPr>
          <w:rFonts w:ascii="Arial" w:hAnsi="Arial" w:eastAsia="Arial"/>
          <w:b w:val="0"/>
          <w:i w:val="0"/>
          <w:sz w:val="22"/>
        </w:rPr>
        <w:t xml:space="preserve"> —voz, datos y mensajería— y, a la postre, en la pérdida del número (arts. 7, fracc. VI, y 2, fracc. VI, de los Lineamientos), es decir, en la exclusión de la persona del principal medio de comunicación de la vida contemporánea.</w:t>
      </w:r>
    </w:p>
    <w:p>
      <w:pPr>
        <w:ind w:left="425"/>
        <w:jc w:val="both"/>
      </w:pPr>
      <w:r>
        <w:rPr>
          <w:rFonts w:ascii="Arial" w:hAnsi="Arial" w:eastAsia="Arial"/>
          <w:b w:val="0"/>
          <w:i w:val="0"/>
          <w:sz w:val="22"/>
        </w:rPr>
        <w:t xml:space="preserve">c) No obsta que la LMTR no exija expresamente datos biométricos, ni que no cree un padrón centralizado, ni que los datos los resguarden las compañías y no el Estado. </w:t>
      </w:r>
      <w:r>
        <w:rPr>
          <w:rFonts w:ascii="Arial" w:hAnsi="Arial" w:eastAsia="Arial"/>
          <w:b/>
          <w:i w:val="0"/>
          <w:sz w:val="22"/>
        </w:rPr>
        <w:t>El problema constitucional no depende del tipo de dato ni de quién custodia el archivo, sino de la obligatoriedad, la finalidad, la proporcionalidad, la sanción y de quién la impone.</w:t>
      </w:r>
      <w:r>
        <w:rPr>
          <w:rFonts w:ascii="Arial" w:hAnsi="Arial" w:eastAsia="Arial"/>
          <w:b w:val="0"/>
          <w:i w:val="0"/>
          <w:sz w:val="22"/>
        </w:rPr>
        <w:t xml:space="preserve"> </w:t>
      </w:r>
      <w:r>
        <w:rPr>
          <w:rFonts w:ascii="Arial" w:hAnsi="Arial" w:eastAsia="Arial"/>
          <w:b/>
          <w:i w:val="0"/>
          <w:sz w:val="22"/>
        </w:rPr>
        <w:t>Primero:</w:t>
      </w:r>
      <w:r>
        <w:rPr>
          <w:rFonts w:ascii="Arial" w:hAnsi="Arial" w:eastAsia="Arial"/>
          <w:b w:val="0"/>
          <w:i w:val="0"/>
          <w:sz w:val="22"/>
        </w:rPr>
        <w:t xml:space="preserve"> el nombre, la CURP, la identificación oficial y el número de la línea son </w:t>
      </w:r>
      <w:r>
        <w:rPr>
          <w:rFonts w:ascii="Arial" w:hAnsi="Arial" w:eastAsia="Arial"/>
          <w:b/>
          <w:i w:val="0"/>
          <w:sz w:val="22"/>
        </w:rPr>
        <w:t>datos personales</w:t>
      </w:r>
      <w:r>
        <w:rPr>
          <w:rFonts w:ascii="Arial" w:hAnsi="Arial" w:eastAsia="Arial"/>
          <w:b w:val="0"/>
          <w:i w:val="0"/>
          <w:sz w:val="22"/>
        </w:rPr>
        <w:t xml:space="preserve"> (art. 16, párr. 2, CPEUM) y su tratamiento forzoso activa por sí solo la protección constitucional; aquí se impone a toda la población una obligación </w:t>
      </w:r>
      <w:r>
        <w:rPr>
          <w:rFonts w:ascii="Arial" w:hAnsi="Arial" w:eastAsia="Arial"/>
          <w:b/>
          <w:i w:val="0"/>
          <w:sz w:val="22"/>
        </w:rPr>
        <w:t>personalísima</w:t>
      </w:r>
      <w:r>
        <w:rPr>
          <w:rFonts w:ascii="Arial" w:hAnsi="Arial" w:eastAsia="Arial"/>
          <w:b w:val="0"/>
          <w:i w:val="0"/>
          <w:sz w:val="22"/>
        </w:rPr>
        <w:t xml:space="preserve">, bajo una sanción </w:t>
      </w:r>
      <w:r>
        <w:rPr>
          <w:rFonts w:ascii="Arial" w:hAnsi="Arial" w:eastAsia="Arial"/>
          <w:b/>
          <w:i w:val="0"/>
          <w:sz w:val="22"/>
        </w:rPr>
        <w:t>restrictiva</w:t>
      </w:r>
      <w:r>
        <w:rPr>
          <w:rFonts w:ascii="Arial" w:hAnsi="Arial" w:eastAsia="Arial"/>
          <w:b w:val="0"/>
          <w:i w:val="0"/>
          <w:sz w:val="22"/>
        </w:rPr>
        <w:t xml:space="preserve"> —la desconexión—, sin que el Estado haya acreditado que el beneficio supere el sacrificio, y con el riesgo de rastreo que supone atar cada línea a una identidad única consultable. </w:t>
      </w:r>
      <w:r>
        <w:rPr>
          <w:rFonts w:ascii="Arial" w:hAnsi="Arial" w:eastAsia="Arial"/>
          <w:b/>
          <w:i w:val="0"/>
          <w:sz w:val="22"/>
        </w:rPr>
        <w:t>Segundo:</w:t>
      </w:r>
      <w:r>
        <w:rPr>
          <w:rFonts w:ascii="Arial" w:hAnsi="Arial" w:eastAsia="Arial"/>
          <w:b w:val="0"/>
          <w:i w:val="0"/>
          <w:sz w:val="22"/>
        </w:rPr>
        <w:t xml:space="preserve"> que el archivo lo guarden las compañías no reduce la injerencia, porque </w:t>
      </w:r>
      <w:r>
        <w:rPr>
          <w:rFonts w:ascii="Arial" w:hAnsi="Arial" w:eastAsia="Arial"/>
          <w:b/>
          <w:i w:val="0"/>
          <w:sz w:val="22"/>
        </w:rPr>
        <w:t>quien diseñó el sistema, fijó su finalidad y conserva la llave es el Estado</w:t>
      </w:r>
      <w:r>
        <w:rPr>
          <w:rFonts w:ascii="Arial" w:hAnsi="Arial" w:eastAsia="Arial"/>
          <w:b w:val="0"/>
          <w:i w:val="0"/>
          <w:sz w:val="22"/>
        </w:rPr>
        <w:t xml:space="preserve">: el Congreso ordenó la identificación con fines de seguridad pública (art. 103 y Trigésimo Transitorio LMTR); la Comisión Reguladora de Telecomunicaciones —que </w:t>
      </w:r>
      <w:r>
        <w:rPr>
          <w:rFonts w:ascii="Arial" w:hAnsi="Arial" w:eastAsia="Arial"/>
          <w:b/>
          <w:i w:val="0"/>
          <w:sz w:val="22"/>
        </w:rPr>
        <w:t>no es un órgano constitucional autónomo</w:t>
      </w:r>
      <w:r>
        <w:rPr>
          <w:rFonts w:ascii="Arial" w:hAnsi="Arial" w:eastAsia="Arial"/>
          <w:b w:val="0"/>
          <w:i w:val="0"/>
          <w:sz w:val="22"/>
        </w:rPr>
        <w:t xml:space="preserve"> como lo fue el Instituto Federal de Telecomunicaciones (art. 28, párr. 15, CPEUM en su texto vigente de 2013 a 2024), sino un </w:t>
      </w:r>
      <w:r>
        <w:rPr>
          <w:rFonts w:ascii="Arial" w:hAnsi="Arial" w:eastAsia="Arial"/>
          <w:b/>
          <w:i w:val="0"/>
          <w:sz w:val="22"/>
        </w:rPr>
        <w:t>órgano administrativo desconcentrado de la Agencia de Transformación Digital y Telecomunicaciones, es decir, del Poder Ejecutivo</w:t>
      </w:r>
      <w:r>
        <w:rPr>
          <w:rFonts w:ascii="Arial" w:hAnsi="Arial" w:eastAsia="Arial"/>
          <w:b w:val="0"/>
          <w:i w:val="0"/>
          <w:sz w:val="22"/>
        </w:rPr>
        <w:t xml:space="preserve"> (art. 7 LMTR)— dictó los requisitos, el calendario y la sanción, y es quien verifica y sanciona su cumplimiento; y la información queda a disposición de las autoridades (arts. 182 y 183 LMTR; art. 7, fracc. XIV, de los Lineamientos). Las compañías son custodias por mandato; trasladarles la guarda no elimina la injerencia estatal, la somete a un custodio con incentivos comerciales y a un régimen de protección menos exigente. El propio Pleno lo advirtió en la AI 82/2021 al recordar, con el Alto Comisionado de la ONU, que la conservación obligatoria de datos por las compañías telefónicas </w:t>
      </w:r>
      <w:r>
        <w:rPr>
          <w:rFonts w:ascii="Arial" w:hAnsi="Arial" w:eastAsia="Arial"/>
          <w:b w:val="0"/>
          <w:i/>
          <w:sz w:val="22"/>
        </w:rPr>
        <w:t>"para que las fuerzas del orden y los organismos de inteligencia puedan acceder posteriormente a ellos […] no parece necesaria ni proporcionada"</w:t>
      </w:r>
      <w:r>
        <w:rPr>
          <w:rFonts w:ascii="Arial" w:hAnsi="Arial" w:eastAsia="Arial"/>
          <w:b w:val="0"/>
          <w:i w:val="0"/>
          <w:sz w:val="22"/>
        </w:rPr>
        <w:t xml:space="preserve"> (párr. 206), que el registro obligatorio de SIM ha resultado </w:t>
      </w:r>
      <w:r>
        <w:rPr>
          <w:rFonts w:ascii="Arial" w:hAnsi="Arial" w:eastAsia="Arial"/>
          <w:b w:val="0"/>
          <w:i/>
          <w:sz w:val="22"/>
        </w:rPr>
        <w:t>"de forma inevitable en que el Estado tenga la huella digital de todos los usuarios"</w:t>
      </w:r>
      <w:r>
        <w:rPr>
          <w:rFonts w:ascii="Arial" w:hAnsi="Arial" w:eastAsia="Arial"/>
          <w:b w:val="0"/>
          <w:i w:val="0"/>
          <w:sz w:val="22"/>
        </w:rPr>
        <w:t xml:space="preserve"> (párr. 208), y que los gobiernos recurren al sector privado para la vigilancia digital mediante </w:t>
      </w:r>
      <w:r>
        <w:rPr>
          <w:rFonts w:ascii="Arial" w:hAnsi="Arial" w:eastAsia="Arial"/>
          <w:b w:val="0"/>
          <w:i/>
          <w:sz w:val="22"/>
        </w:rPr>
        <w:t>"una delegación de las responsabilidades policiales y cuasijudiciales a los intermediarios […] disfrazada de 'autorregulación' o 'cooperación'"</w:t>
      </w:r>
      <w:r>
        <w:rPr>
          <w:rFonts w:ascii="Arial" w:hAnsi="Arial" w:eastAsia="Arial"/>
          <w:b w:val="0"/>
          <w:i w:val="0"/>
          <w:sz w:val="22"/>
        </w:rPr>
        <w:t xml:space="preserve"> (párr. 209). A ello se suman cuatro agravantes: </w:t>
      </w:r>
      <w:r>
        <w:rPr>
          <w:rFonts w:ascii="Arial" w:hAnsi="Arial" w:eastAsia="Arial"/>
          <w:b/>
          <w:i w:val="0"/>
          <w:sz w:val="22"/>
        </w:rPr>
        <w:t>(i)</w:t>
      </w:r>
      <w:r>
        <w:rPr>
          <w:rFonts w:ascii="Arial" w:hAnsi="Arial" w:eastAsia="Arial"/>
          <w:b w:val="0"/>
          <w:i w:val="0"/>
          <w:sz w:val="22"/>
        </w:rPr>
        <w:t xml:space="preserve"> el artículo 103 exige la </w:t>
      </w:r>
      <w:r>
        <w:rPr>
          <w:rFonts w:ascii="Arial" w:hAnsi="Arial" w:eastAsia="Arial"/>
          <w:b/>
          <w:i w:val="0"/>
          <w:sz w:val="22"/>
        </w:rPr>
        <w:t>CURP</w:t>
      </w:r>
      <w:r>
        <w:rPr>
          <w:rFonts w:ascii="Arial" w:hAnsi="Arial" w:eastAsia="Arial"/>
          <w:b w:val="0"/>
          <w:i w:val="0"/>
          <w:sz w:val="22"/>
        </w:rPr>
        <w:t xml:space="preserve">, y el artículo </w:t>
      </w:r>
      <w:r>
        <w:rPr>
          <w:rFonts w:ascii="Arial" w:hAnsi="Arial" w:eastAsia="Arial"/>
          <w:b/>
          <w:i w:val="0"/>
          <w:sz w:val="22"/>
        </w:rPr>
        <w:t>91 Bis de la Ley General de Población</w:t>
      </w:r>
      <w:r>
        <w:rPr>
          <w:rFonts w:ascii="Arial" w:hAnsi="Arial" w:eastAsia="Arial"/>
          <w:b w:val="0"/>
          <w:i w:val="0"/>
          <w:sz w:val="22"/>
        </w:rPr>
        <w:t xml:space="preserve"> (adicionado en el mismo Decreto de 16 de julio de 2025) dispone que la CURP </w:t>
      </w:r>
      <w:r>
        <w:rPr>
          <w:rFonts w:ascii="Arial" w:hAnsi="Arial" w:eastAsia="Arial"/>
          <w:b w:val="0"/>
          <w:i/>
          <w:sz w:val="22"/>
        </w:rPr>
        <w:t>"que […] contenga huellas dactilares y fotografía, será el documento nacional de identificación obligatorio"</w:t>
      </w:r>
      <w:r>
        <w:rPr>
          <w:rFonts w:ascii="Arial" w:hAnsi="Arial" w:eastAsia="Arial"/>
          <w:b w:val="0"/>
          <w:i w:val="0"/>
          <w:sz w:val="22"/>
        </w:rPr>
        <w:t xml:space="preserve">, de modo que la clave a la que se ata la línea es, por diseño legal, la llave de una identidad biométrica; los tribunales federales ya han suspendido la aplicación de ese régimen (tesis </w:t>
      </w:r>
      <w:r>
        <w:rPr>
          <w:rFonts w:ascii="Arial" w:hAnsi="Arial" w:eastAsia="Arial"/>
          <w:b/>
          <w:i w:val="0"/>
          <w:sz w:val="22"/>
        </w:rPr>
        <w:t>I.20o.A.57 A (12a.)</w:t>
      </w:r>
      <w:r>
        <w:rPr>
          <w:rFonts w:ascii="Arial" w:hAnsi="Arial" w:eastAsia="Arial"/>
          <w:b w:val="0"/>
          <w:i w:val="0"/>
          <w:sz w:val="22"/>
        </w:rPr>
        <w:t xml:space="preserve">, registro </w:t>
      </w:r>
      <w:r>
        <w:rPr>
          <w:rFonts w:ascii="Arial" w:hAnsi="Arial" w:eastAsia="Arial"/>
          <w:b/>
          <w:i w:val="0"/>
          <w:sz w:val="22"/>
        </w:rPr>
        <w:t>2032355</w:t>
      </w:r>
      <w:r>
        <w:rPr>
          <w:rFonts w:ascii="Arial" w:hAnsi="Arial" w:eastAsia="Arial"/>
          <w:b w:val="0"/>
          <w:i w:val="0"/>
          <w:sz w:val="22"/>
        </w:rPr>
        <w:t xml:space="preserve">; </w:t>
      </w:r>
      <w:r>
        <w:rPr>
          <w:rFonts w:ascii="Arial" w:hAnsi="Arial" w:eastAsia="Arial"/>
          <w:b/>
          <w:i w:val="0"/>
          <w:sz w:val="22"/>
        </w:rPr>
        <w:t>I.20o.A.58 A (12a.)</w:t>
      </w:r>
      <w:r>
        <w:rPr>
          <w:rFonts w:ascii="Arial" w:hAnsi="Arial" w:eastAsia="Arial"/>
          <w:b w:val="0"/>
          <w:i w:val="0"/>
          <w:sz w:val="22"/>
        </w:rPr>
        <w:t xml:space="preserve">, registro </w:t>
      </w:r>
      <w:r>
        <w:rPr>
          <w:rFonts w:ascii="Arial" w:hAnsi="Arial" w:eastAsia="Arial"/>
          <w:b/>
          <w:i w:val="0"/>
          <w:sz w:val="22"/>
        </w:rPr>
        <w:t>2032354</w:t>
      </w:r>
      <w:r>
        <w:rPr>
          <w:rFonts w:ascii="Arial" w:hAnsi="Arial" w:eastAsia="Arial"/>
          <w:b w:val="0"/>
          <w:i w:val="0"/>
          <w:sz w:val="22"/>
        </w:rPr>
        <w:t xml:space="preserve">; </w:t>
      </w:r>
      <w:r>
        <w:rPr>
          <w:rFonts w:ascii="Arial" w:hAnsi="Arial" w:eastAsia="Arial"/>
          <w:b/>
          <w:i w:val="0"/>
          <w:sz w:val="22"/>
        </w:rPr>
        <w:t>XXX.4o.3 K (12a.)</w:t>
      </w:r>
      <w:r>
        <w:rPr>
          <w:rFonts w:ascii="Arial" w:hAnsi="Arial" w:eastAsia="Arial"/>
          <w:b w:val="0"/>
          <w:i w:val="0"/>
          <w:sz w:val="22"/>
        </w:rPr>
        <w:t xml:space="preserve">, registro </w:t>
      </w:r>
      <w:r>
        <w:rPr>
          <w:rFonts w:ascii="Arial" w:hAnsi="Arial" w:eastAsia="Arial"/>
          <w:b/>
          <w:i w:val="0"/>
          <w:sz w:val="22"/>
        </w:rPr>
        <w:t>2031770</w:t>
      </w:r>
      <w:r>
        <w:rPr>
          <w:rFonts w:ascii="Arial" w:hAnsi="Arial" w:eastAsia="Arial"/>
          <w:b w:val="0"/>
          <w:i w:val="0"/>
          <w:sz w:val="22"/>
        </w:rPr>
        <w:t xml:space="preserve">). </w:t>
      </w:r>
      <w:r>
        <w:rPr>
          <w:rFonts w:ascii="Arial" w:hAnsi="Arial" w:eastAsia="Arial"/>
          <w:b/>
          <w:i w:val="0"/>
          <w:sz w:val="22"/>
        </w:rPr>
        <w:t>(ii)</w:t>
      </w:r>
      <w:r>
        <w:rPr>
          <w:rFonts w:ascii="Arial" w:hAnsi="Arial" w:eastAsia="Arial"/>
          <w:b w:val="0"/>
          <w:i w:val="0"/>
          <w:sz w:val="22"/>
        </w:rPr>
        <w:t xml:space="preserve"> Los Lineamientos exigen en la modalidad remota una </w:t>
      </w:r>
      <w:r>
        <w:rPr>
          <w:rFonts w:ascii="Arial" w:hAnsi="Arial" w:eastAsia="Arial"/>
          <w:b/>
          <w:i w:val="0"/>
          <w:sz w:val="22"/>
        </w:rPr>
        <w:t>"prueba de vida"</w:t>
      </w:r>
      <w:r>
        <w:rPr>
          <w:rFonts w:ascii="Arial" w:hAnsi="Arial" w:eastAsia="Arial"/>
          <w:b w:val="0"/>
          <w:i w:val="0"/>
          <w:sz w:val="22"/>
        </w:rPr>
        <w:t xml:space="preserve"> (arts. 2, fracc. XXV, 24, fracc. IV, y 31, fracc. IV), es decir, un tratamiento adicional de la imagen o rasgos de la persona para validar que corresponde a su identificación, que la ley no prevé y que se realiza a través de la plataforma de un particular. </w:t>
      </w:r>
      <w:r>
        <w:rPr>
          <w:rFonts w:ascii="Arial" w:hAnsi="Arial" w:eastAsia="Arial"/>
          <w:b/>
          <w:i w:val="0"/>
          <w:sz w:val="22"/>
        </w:rPr>
        <w:t>(iii)</w:t>
      </w:r>
      <w:r>
        <w:rPr>
          <w:rFonts w:ascii="Arial" w:hAnsi="Arial" w:eastAsia="Arial"/>
          <w:b w:val="0"/>
          <w:i w:val="0"/>
          <w:sz w:val="22"/>
        </w:rPr>
        <w:t xml:space="preserve"> La información se resguarda por los concesionarios </w:t>
      </w:r>
      <w:r>
        <w:rPr>
          <w:rFonts w:ascii="Arial" w:hAnsi="Arial" w:eastAsia="Arial"/>
          <w:b/>
          <w:i w:val="0"/>
          <w:sz w:val="22"/>
        </w:rPr>
        <w:t>sin plazo alguno</w:t>
      </w:r>
      <w:r>
        <w:rPr>
          <w:rFonts w:ascii="Arial" w:hAnsi="Arial" w:eastAsia="Arial"/>
          <w:b w:val="0"/>
          <w:i w:val="0"/>
          <w:sz w:val="22"/>
        </w:rPr>
        <w:t xml:space="preserve"> (art. 7, fracc. XIV) y queda a disposición de las autoridades, y la </w:t>
      </w:r>
      <w:r>
        <w:rPr>
          <w:rFonts w:ascii="Arial" w:hAnsi="Arial" w:eastAsia="Arial"/>
          <w:b/>
          <w:i w:val="0"/>
          <w:sz w:val="22"/>
        </w:rPr>
        <w:t>Plataforma de Consulta</w:t>
      </w:r>
      <w:r>
        <w:rPr>
          <w:rFonts w:ascii="Arial" w:hAnsi="Arial" w:eastAsia="Arial"/>
          <w:b w:val="0"/>
          <w:i w:val="0"/>
          <w:sz w:val="22"/>
        </w:rPr>
        <w:t xml:space="preserve"> permite, con la sola CURP —dato de circulación cotidiana—, conocer cuántas líneas tiene una persona y con qué operador (arts. 36 y 37), lo que expone a cualquier titular a la elaboración de perfiles por terceros. </w:t>
      </w:r>
      <w:r>
        <w:rPr>
          <w:rFonts w:ascii="Arial" w:hAnsi="Arial" w:eastAsia="Arial"/>
          <w:b/>
          <w:i w:val="0"/>
          <w:sz w:val="22"/>
        </w:rPr>
        <w:t>(iv)</w:t>
      </w:r>
      <w:r>
        <w:rPr>
          <w:rFonts w:ascii="Arial" w:hAnsi="Arial" w:eastAsia="Arial"/>
          <w:b w:val="0"/>
          <w:i w:val="0"/>
          <w:sz w:val="22"/>
        </w:rPr>
        <w:t xml:space="preserve"> La Corte fue explícita en que las salvaguardas de un sistema de esta magnitud debían constar </w:t>
      </w:r>
      <w:r>
        <w:rPr>
          <w:rFonts w:ascii="Arial" w:hAnsi="Arial" w:eastAsia="Arial"/>
          <w:b/>
          <w:i w:val="0"/>
          <w:sz w:val="22"/>
        </w:rPr>
        <w:t>en ley</w:t>
      </w:r>
      <w:r>
        <w:rPr>
          <w:rFonts w:ascii="Arial" w:hAnsi="Arial" w:eastAsia="Arial"/>
          <w:b w:val="0"/>
          <w:i w:val="0"/>
          <w:sz w:val="22"/>
        </w:rPr>
        <w:t xml:space="preserve"> y no en disposiciones administrativas (párrs. 415-416), y en que su emisión exigía una evaluación de impacto en la protección de datos personales (párrs. 419-421); la LMTR no contiene salvaguarda alguna: delega íntegramente en la CRT los datos, el procedimiento, la sanción y el calendario.</w:t>
      </w:r>
    </w:p>
    <w:p>
      <w:pPr>
        <w:ind w:left="425"/>
        <w:jc w:val="both"/>
      </w:pPr>
      <w:r>
        <w:rPr>
          <w:rFonts w:ascii="Arial" w:hAnsi="Arial" w:eastAsia="Arial"/>
          <w:b w:val="0"/>
          <w:i w:val="0"/>
          <w:sz w:val="22"/>
        </w:rPr>
        <w:t xml:space="preserve">d) La Primera Sala ha establecido que quienes contratan una línea telefónica </w:t>
      </w:r>
      <w:r>
        <w:rPr>
          <w:rFonts w:ascii="Arial" w:hAnsi="Arial" w:eastAsia="Arial"/>
          <w:b/>
          <w:i w:val="0"/>
          <w:sz w:val="22"/>
        </w:rPr>
        <w:t>conservan una legítima expectativa de privacidad</w:t>
      </w:r>
      <w:r>
        <w:rPr>
          <w:rFonts w:ascii="Arial" w:hAnsi="Arial" w:eastAsia="Arial"/>
          <w:b w:val="0"/>
          <w:i w:val="0"/>
          <w:sz w:val="22"/>
        </w:rPr>
        <w:t xml:space="preserve"> y que la contratación no constituye una autorización que la destruya (tesis </w:t>
      </w:r>
      <w:r>
        <w:rPr>
          <w:rFonts w:ascii="Arial" w:hAnsi="Arial" w:eastAsia="Arial"/>
          <w:b/>
          <w:i w:val="0"/>
          <w:sz w:val="22"/>
        </w:rPr>
        <w:t>1a. VIII/2024 (11a.)</w:t>
      </w:r>
      <w:r>
        <w:rPr>
          <w:rFonts w:ascii="Arial" w:hAnsi="Arial" w:eastAsia="Arial"/>
          <w:b w:val="0"/>
          <w:i w:val="0"/>
          <w:sz w:val="22"/>
        </w:rPr>
        <w:t xml:space="preserve">, registro </w:t>
      </w:r>
      <w:r>
        <w:rPr>
          <w:rFonts w:ascii="Arial" w:hAnsi="Arial" w:eastAsia="Arial"/>
          <w:b/>
          <w:i w:val="0"/>
          <w:sz w:val="22"/>
        </w:rPr>
        <w:t>2028872</w:t>
      </w:r>
      <w:r>
        <w:rPr>
          <w:rFonts w:ascii="Arial" w:hAnsi="Arial" w:eastAsia="Arial"/>
          <w:b w:val="0"/>
          <w:i w:val="0"/>
          <w:sz w:val="22"/>
        </w:rPr>
        <w:t xml:space="preserve">), y que el derecho a la privacidad </w:t>
      </w:r>
      <w:r>
        <w:rPr>
          <w:rFonts w:ascii="Arial" w:hAnsi="Arial" w:eastAsia="Arial"/>
          <w:b w:val="0"/>
          <w:i/>
          <w:sz w:val="22"/>
        </w:rPr>
        <w:t>"garantiza la dignidad humana, la autonomía y la libertad personal"</w:t>
      </w:r>
      <w:r>
        <w:rPr>
          <w:rFonts w:ascii="Arial" w:hAnsi="Arial" w:eastAsia="Arial"/>
          <w:b w:val="0"/>
          <w:i w:val="0"/>
          <w:sz w:val="22"/>
        </w:rPr>
        <w:t xml:space="preserve"> (tesis </w:t>
      </w:r>
      <w:r>
        <w:rPr>
          <w:rFonts w:ascii="Arial" w:hAnsi="Arial" w:eastAsia="Arial"/>
          <w:b/>
          <w:i w:val="0"/>
          <w:sz w:val="22"/>
        </w:rPr>
        <w:t>1a. IX/2024 (11a.)</w:t>
      </w:r>
      <w:r>
        <w:rPr>
          <w:rFonts w:ascii="Arial" w:hAnsi="Arial" w:eastAsia="Arial"/>
          <w:b w:val="0"/>
          <w:i w:val="0"/>
          <w:sz w:val="22"/>
        </w:rPr>
        <w:t xml:space="preserve">, registro </w:t>
      </w:r>
      <w:r>
        <w:rPr>
          <w:rFonts w:ascii="Arial" w:hAnsi="Arial" w:eastAsia="Arial"/>
          <w:b/>
          <w:i w:val="0"/>
          <w:sz w:val="22"/>
        </w:rPr>
        <w:t>2028877</w:t>
      </w:r>
      <w:r>
        <w:rPr>
          <w:rFonts w:ascii="Arial" w:hAnsi="Arial" w:eastAsia="Arial"/>
          <w:b w:val="0"/>
          <w:i w:val="0"/>
          <w:sz w:val="22"/>
        </w:rPr>
        <w:t>). El sistema reclamado invierte esa premisa: convierte a la totalidad de las personas usuarias en sospechosas que deben identificarse ante un particular, y entrega su información sin la individualización, el control judicial ni la temporalidad que la Constitución exige para cualquier injerencia en la vida privada.</w:t>
      </w:r>
    </w:p>
    <w:p>
      <w:pPr>
        <w:ind w:left="425"/>
        <w:jc w:val="both"/>
      </w:pPr>
      <w:r>
        <w:rPr>
          <w:rFonts w:ascii="Arial" w:hAnsi="Arial" w:eastAsia="Arial"/>
          <w:b w:val="0"/>
          <w:i w:val="0"/>
          <w:sz w:val="22"/>
        </w:rPr>
        <w:t xml:space="preserve">e) </w:t>
      </w:r>
      <w:r>
        <w:rPr>
          <w:rFonts w:ascii="Arial" w:hAnsi="Arial" w:eastAsia="Arial"/>
          <w:b/>
          <w:i w:val="0"/>
          <w:sz w:val="22"/>
        </w:rPr>
        <w:t>Aplicación del test de proporcionalidad, grada por grada.</w:t>
      </w:r>
      <w:r>
        <w:rPr>
          <w:rFonts w:ascii="Arial" w:hAnsi="Arial" w:eastAsia="Arial"/>
          <w:b w:val="0"/>
          <w:i w:val="0"/>
          <w:sz w:val="22"/>
        </w:rPr>
        <w:t xml:space="preserve"> Conforme a la metodología de la Primera Sala (tesis </w:t>
      </w:r>
      <w:r>
        <w:rPr>
          <w:rFonts w:ascii="Arial" w:hAnsi="Arial" w:eastAsia="Arial"/>
          <w:b/>
          <w:i w:val="0"/>
          <w:sz w:val="22"/>
        </w:rPr>
        <w:t>1a. CCLXIII/2016 (10a.)</w:t>
      </w:r>
      <w:r>
        <w:rPr>
          <w:rFonts w:ascii="Arial" w:hAnsi="Arial" w:eastAsia="Arial"/>
          <w:b w:val="0"/>
          <w:i w:val="0"/>
          <w:sz w:val="22"/>
        </w:rPr>
        <w:t xml:space="preserve">, registro </w:t>
      </w:r>
      <w:r>
        <w:rPr>
          <w:rFonts w:ascii="Arial" w:hAnsi="Arial" w:eastAsia="Arial"/>
          <w:b/>
          <w:i w:val="0"/>
          <w:sz w:val="22"/>
        </w:rPr>
        <w:t>2013156</w:t>
      </w:r>
      <w:r>
        <w:rPr>
          <w:rFonts w:ascii="Arial" w:hAnsi="Arial" w:eastAsia="Arial"/>
          <w:b w:val="0"/>
          <w:i w:val="0"/>
          <w:sz w:val="22"/>
        </w:rPr>
        <w:t xml:space="preserve">; </w:t>
      </w:r>
      <w:r>
        <w:rPr>
          <w:rFonts w:ascii="Arial" w:hAnsi="Arial" w:eastAsia="Arial"/>
          <w:b/>
          <w:i w:val="0"/>
          <w:sz w:val="22"/>
        </w:rPr>
        <w:t>1a. CCLXV/2016 (10a.)</w:t>
      </w:r>
      <w:r>
        <w:rPr>
          <w:rFonts w:ascii="Arial" w:hAnsi="Arial" w:eastAsia="Arial"/>
          <w:b w:val="0"/>
          <w:i w:val="0"/>
          <w:sz w:val="22"/>
        </w:rPr>
        <w:t xml:space="preserve">, registro </w:t>
      </w:r>
      <w:r>
        <w:rPr>
          <w:rFonts w:ascii="Arial" w:hAnsi="Arial" w:eastAsia="Arial"/>
          <w:b/>
          <w:i w:val="0"/>
          <w:sz w:val="22"/>
        </w:rPr>
        <w:t>2013143</w:t>
      </w:r>
      <w:r>
        <w:rPr>
          <w:rFonts w:ascii="Arial" w:hAnsi="Arial" w:eastAsia="Arial"/>
          <w:b w:val="0"/>
          <w:i w:val="0"/>
          <w:sz w:val="22"/>
        </w:rPr>
        <w:t xml:space="preserve">; y </w:t>
      </w:r>
      <w:r>
        <w:rPr>
          <w:rFonts w:ascii="Arial" w:hAnsi="Arial" w:eastAsia="Arial"/>
          <w:b/>
          <w:i w:val="0"/>
          <w:sz w:val="22"/>
        </w:rPr>
        <w:t>1a. CCLXX/2016 (10a.)</w:t>
      </w:r>
      <w:r>
        <w:rPr>
          <w:rFonts w:ascii="Arial" w:hAnsi="Arial" w:eastAsia="Arial"/>
          <w:b w:val="0"/>
          <w:i w:val="0"/>
          <w:sz w:val="22"/>
        </w:rPr>
        <w:t xml:space="preserve">, registro </w:t>
      </w:r>
      <w:r>
        <w:rPr>
          <w:rFonts w:ascii="Arial" w:hAnsi="Arial" w:eastAsia="Arial"/>
          <w:b/>
          <w:i w:val="0"/>
          <w:sz w:val="22"/>
        </w:rPr>
        <w:t>2013154</w:t>
      </w:r>
      <w:r>
        <w:rPr>
          <w:rFonts w:ascii="Arial" w:hAnsi="Arial" w:eastAsia="Arial"/>
          <w:b w:val="0"/>
          <w:i w:val="0"/>
          <w:sz w:val="22"/>
        </w:rPr>
        <w:t xml:space="preserve">) —la misma que el Pleno aplicó en la AI 82/2021 (párrs. 107-110 y 381-392)—, toda intervención legislativa en un derecho fundamental debe superar </w:t>
      </w:r>
      <w:r>
        <w:rPr>
          <w:rFonts w:ascii="Arial" w:hAnsi="Arial" w:eastAsia="Arial"/>
          <w:b/>
          <w:i w:val="0"/>
          <w:sz w:val="22"/>
        </w:rPr>
        <w:t>cuatro gradas</w:t>
      </w:r>
      <w:r>
        <w:rPr>
          <w:rFonts w:ascii="Arial" w:hAnsi="Arial" w:eastAsia="Arial"/>
          <w:b w:val="0"/>
          <w:i w:val="0"/>
          <w:sz w:val="22"/>
        </w:rPr>
        <w:t xml:space="preserve">: fin constitucionalmente válido, idoneidad, </w:t>
      </w:r>
      <w:r>
        <w:rPr>
          <w:rFonts w:ascii="Arial" w:hAnsi="Arial" w:eastAsia="Arial"/>
          <w:b/>
          <w:i w:val="0"/>
          <w:sz w:val="22"/>
        </w:rPr>
        <w:t>necesidad (que no exista una medida alternativa igualmente idónea y menos lesiva)</w:t>
      </w:r>
      <w:r>
        <w:rPr>
          <w:rFonts w:ascii="Arial" w:hAnsi="Arial" w:eastAsia="Arial"/>
          <w:b w:val="0"/>
          <w:i w:val="0"/>
          <w:sz w:val="22"/>
        </w:rPr>
        <w:t xml:space="preserve"> y proporcionalidad en sentido estricto. La medida reclamada cae en la tercera y en la cuarta:</w:t>
      </w:r>
    </w:p>
    <w:p>
      <w:pPr>
        <w:jc w:val="both"/>
      </w:pPr>
      <w:r>
        <w:rPr>
          <w:rFonts w:ascii="Arial" w:hAnsi="Arial" w:eastAsia="Arial"/>
          <w:b w:val="0"/>
          <w:i w:val="0"/>
          <w:sz w:val="22"/>
        </w:rPr>
        <w:t xml:space="preserve">(1) </w:t>
      </w:r>
      <w:r>
        <w:rPr>
          <w:rFonts w:ascii="Arial" w:hAnsi="Arial" w:eastAsia="Arial"/>
          <w:b/>
          <w:i w:val="0"/>
          <w:sz w:val="22"/>
        </w:rPr>
        <w:t>Fin constitucionalmente válido.</w:t>
      </w:r>
      <w:r>
        <w:rPr>
          <w:rFonts w:ascii="Arial" w:hAnsi="Arial" w:eastAsia="Arial"/>
          <w:b w:val="0"/>
          <w:i w:val="0"/>
          <w:sz w:val="22"/>
        </w:rPr>
        <w:t xml:space="preserve"> Se concede: la seguridad pública y la persecución de los delitos son fines legítimos (art. 21 CPEUM).</w:t>
      </w:r>
    </w:p>
    <w:p>
      <w:pPr>
        <w:jc w:val="both"/>
      </w:pPr>
      <w:r>
        <w:rPr>
          <w:rFonts w:ascii="Arial" w:hAnsi="Arial" w:eastAsia="Arial"/>
          <w:b w:val="0"/>
          <w:i w:val="0"/>
          <w:sz w:val="22"/>
        </w:rPr>
        <w:t xml:space="preserve">(2) </w:t>
      </w:r>
      <w:r>
        <w:rPr>
          <w:rFonts w:ascii="Arial" w:hAnsi="Arial" w:eastAsia="Arial"/>
          <w:b/>
          <w:i w:val="0"/>
          <w:sz w:val="22"/>
        </w:rPr>
        <w:t>Idoneidad.</w:t>
      </w:r>
      <w:r>
        <w:rPr>
          <w:rFonts w:ascii="Arial" w:hAnsi="Arial" w:eastAsia="Arial"/>
          <w:b w:val="0"/>
          <w:i w:val="0"/>
          <w:sz w:val="22"/>
        </w:rPr>
        <w:t xml:space="preserve"> Aun concediendo —como lo hizo el Pleno respecto del PANAUT (párrs. 274-277)— que un registro de usuarios pudiera contribuir </w:t>
      </w:r>
      <w:r>
        <w:rPr>
          <w:rFonts w:ascii="Arial" w:hAnsi="Arial" w:eastAsia="Arial"/>
          <w:b w:val="0"/>
          <w:i/>
          <w:sz w:val="22"/>
        </w:rPr>
        <w:t>"de algún modo"</w:t>
      </w:r>
      <w:r>
        <w:rPr>
          <w:rFonts w:ascii="Arial" w:hAnsi="Arial" w:eastAsia="Arial"/>
          <w:b w:val="0"/>
          <w:i w:val="0"/>
          <w:sz w:val="22"/>
        </w:rPr>
        <w:t xml:space="preserve"> a ese fin, la idoneidad es mínima: el propio Pleno advirtió, con base en la experiencia del RENAUT, que </w:t>
      </w:r>
      <w:r>
        <w:rPr>
          <w:rFonts w:ascii="Arial" w:hAnsi="Arial" w:eastAsia="Arial"/>
          <w:b w:val="0"/>
          <w:i/>
          <w:sz w:val="22"/>
        </w:rPr>
        <w:t>"no es posible sostener que la creación de este tipo de padrones garantice que efectivamente se vaya a identificar a los responsables de los delitos"</w:t>
      </w:r>
      <w:r>
        <w:rPr>
          <w:rFonts w:ascii="Arial" w:hAnsi="Arial" w:eastAsia="Arial"/>
          <w:b w:val="0"/>
          <w:i w:val="0"/>
          <w:sz w:val="22"/>
        </w:rPr>
        <w:t xml:space="preserve"> y que </w:t>
      </w:r>
      <w:r>
        <w:rPr>
          <w:rFonts w:ascii="Arial" w:hAnsi="Arial" w:eastAsia="Arial"/>
          <w:b w:val="0"/>
          <w:i/>
          <w:sz w:val="22"/>
        </w:rPr>
        <w:t>"incluso pueden facilitar la comisión misma de los delitos que pretende combatir"</w:t>
      </w:r>
      <w:r>
        <w:rPr>
          <w:rFonts w:ascii="Arial" w:hAnsi="Arial" w:eastAsia="Arial"/>
          <w:b w:val="0"/>
          <w:i w:val="0"/>
          <w:sz w:val="22"/>
        </w:rPr>
        <w:t xml:space="preserve"> (párr. 301). Más aún: la medida es </w:t>
      </w:r>
      <w:r>
        <w:rPr>
          <w:rFonts w:ascii="Arial" w:hAnsi="Arial" w:eastAsia="Arial"/>
          <w:b/>
          <w:i w:val="0"/>
          <w:sz w:val="22"/>
        </w:rPr>
        <w:t>contraproducente</w:t>
      </w:r>
      <w:r>
        <w:rPr>
          <w:rFonts w:ascii="Arial" w:hAnsi="Arial" w:eastAsia="Arial"/>
          <w:b w:val="0"/>
          <w:i w:val="0"/>
          <w:sz w:val="22"/>
        </w:rPr>
        <w:t xml:space="preserve">, porque está comprobado que el vínculo obligatorio identidad–línea </w:t>
      </w:r>
      <w:r>
        <w:rPr>
          <w:rFonts w:ascii="Arial" w:hAnsi="Arial" w:eastAsia="Arial"/>
          <w:b/>
          <w:i w:val="0"/>
          <w:sz w:val="22"/>
        </w:rPr>
        <w:t>desplaza</w:t>
      </w:r>
      <w:r>
        <w:rPr>
          <w:rFonts w:ascii="Arial" w:hAnsi="Arial" w:eastAsia="Arial"/>
          <w:b w:val="0"/>
          <w:i w:val="0"/>
          <w:sz w:val="22"/>
        </w:rPr>
        <w:t xml:space="preserve"> la conducta hacia la </w:t>
      </w:r>
      <w:r>
        <w:rPr>
          <w:rFonts w:ascii="Arial" w:hAnsi="Arial" w:eastAsia="Arial"/>
          <w:b/>
          <w:i w:val="0"/>
          <w:sz w:val="22"/>
        </w:rPr>
        <w:t>suplantación y apropiación de identidad, los registros falsos y un mercado secundario de tarjetas ya registradas a nombre de terceros</w:t>
      </w:r>
      <w:r>
        <w:rPr>
          <w:rFonts w:ascii="Arial" w:hAnsi="Arial" w:eastAsia="Arial"/>
          <w:b w:val="0"/>
          <w:i w:val="0"/>
          <w:sz w:val="22"/>
        </w:rPr>
        <w:t>. Así ocurrió con el RENAUT —la COFETEL reconoció en 2010 entre diez mil y cincuenta mil registros apócrifos y el padrón completo llegó a ofrecerse en internet por quinientos pesos (párr. 300)— y así está ocurriendo desde el inicio de este registro (chips previnculados a nombre de terceros a la venta desde enero de 2026, según se ha documentado públicamente). El efecto es doble y perverso: quien delinque se comunica igual que antes, y una persona inocente queda asociada a una línea que no usa, expuesta a ser señalada como responsable de hechos ajenos. Una medida que crea un nuevo delito (la apropiación de identidades para registrar líneas) y un nuevo mercado ilícito no es idónea para reducir el delito.</w:t>
      </w:r>
    </w:p>
    <w:p>
      <w:pPr>
        <w:jc w:val="both"/>
      </w:pPr>
      <w:r>
        <w:rPr>
          <w:rFonts w:ascii="Arial" w:hAnsi="Arial" w:eastAsia="Arial"/>
          <w:b w:val="0"/>
          <w:i w:val="0"/>
          <w:sz w:val="22"/>
        </w:rPr>
        <w:t xml:space="preserve">(3) </w:t>
      </w:r>
      <w:r>
        <w:rPr>
          <w:rFonts w:ascii="Arial" w:hAnsi="Arial" w:eastAsia="Arial"/>
          <w:b/>
          <w:i w:val="0"/>
          <w:color w:val="EE0000"/>
          <w:sz w:val="22"/>
        </w:rPr>
        <w:t>Necesidad — la medida menos lesiva.</w:t>
      </w:r>
      <w:r>
        <w:rPr>
          <w:rFonts w:ascii="Arial" w:hAnsi="Arial" w:eastAsia="Arial"/>
          <w:b w:val="0"/>
          <w:i w:val="0"/>
          <w:sz w:val="22"/>
        </w:rPr>
        <w:t xml:space="preserve"> Esta es la grada decisiva, y es exactamente donde el PANAUT fue declarado inválido (párrs. 383-392). El examen de necesidad obliga a verificar si existen </w:t>
      </w:r>
      <w:r>
        <w:rPr>
          <w:rFonts w:ascii="Arial" w:hAnsi="Arial" w:eastAsia="Arial"/>
          <w:b w:val="0"/>
          <w:i/>
          <w:sz w:val="22"/>
        </w:rPr>
        <w:t>"otros medios igualmente idóneos para lograr los fines que se persiguen"</w:t>
      </w:r>
      <w:r>
        <w:rPr>
          <w:rFonts w:ascii="Arial" w:hAnsi="Arial" w:eastAsia="Arial"/>
          <w:b w:val="0"/>
          <w:i w:val="0"/>
          <w:sz w:val="22"/>
        </w:rPr>
        <w:t xml:space="preserve"> que </w:t>
      </w:r>
      <w:r>
        <w:rPr>
          <w:rFonts w:ascii="Arial" w:hAnsi="Arial" w:eastAsia="Arial"/>
          <w:b w:val="0"/>
          <w:i/>
          <w:sz w:val="22"/>
        </w:rPr>
        <w:t>"intervengan con menor intensidad el derecho fundamental"</w:t>
      </w:r>
      <w:r>
        <w:rPr>
          <w:rFonts w:ascii="Arial" w:hAnsi="Arial" w:eastAsia="Arial"/>
          <w:b w:val="0"/>
          <w:i w:val="0"/>
          <w:sz w:val="22"/>
        </w:rPr>
        <w:t xml:space="preserve">, catálogo que puede integrarse con las medidas que el propio legislador ha considerado adecuadas para situaciones similares </w:t>
      </w:r>
      <w:r>
        <w:rPr>
          <w:rFonts w:ascii="Arial" w:hAnsi="Arial" w:eastAsia="Arial"/>
          <w:b w:val="0"/>
          <w:i/>
          <w:sz w:val="22"/>
        </w:rPr>
        <w:t>"o bien las alternativas que en el derecho comparado se han diseñado para regular el mismo fenómeno"</w:t>
      </w:r>
      <w:r>
        <w:rPr>
          <w:rFonts w:ascii="Arial" w:hAnsi="Arial" w:eastAsia="Arial"/>
          <w:b w:val="0"/>
          <w:i w:val="0"/>
          <w:sz w:val="22"/>
        </w:rPr>
        <w:t xml:space="preserve"> (tesis registro </w:t>
      </w:r>
      <w:r>
        <w:rPr>
          <w:rFonts w:ascii="Arial" w:hAnsi="Arial" w:eastAsia="Arial"/>
          <w:b/>
          <w:i w:val="0"/>
          <w:sz w:val="22"/>
        </w:rPr>
        <w:t>2013154</w:t>
      </w:r>
      <w:r>
        <w:rPr>
          <w:rFonts w:ascii="Arial" w:hAnsi="Arial" w:eastAsia="Arial"/>
          <w:b w:val="0"/>
          <w:i w:val="0"/>
          <w:sz w:val="22"/>
        </w:rPr>
        <w:t xml:space="preserve">). Existen medidas </w:t>
      </w:r>
      <w:r>
        <w:rPr>
          <w:rFonts w:ascii="Arial" w:hAnsi="Arial" w:eastAsia="Arial"/>
          <w:b/>
          <w:i w:val="0"/>
          <w:sz w:val="22"/>
        </w:rPr>
        <w:t>igualmente idóneas y menos restrictivas</w:t>
      </w:r>
      <w:r>
        <w:rPr>
          <w:rFonts w:ascii="Arial" w:hAnsi="Arial" w:eastAsia="Arial"/>
          <w:b w:val="0"/>
          <w:i w:val="0"/>
          <w:sz w:val="22"/>
        </w:rPr>
        <w:t xml:space="preserve">, ya vigentes, para el mismo fin: la localización geográfica en tiempo real, la conservación de datos de comunicaciones por veinticuatro meses —incluidos nombre y domicilio del suscriptor— y su entrega a las autoridades, y la intervención de comunicaciones privadas (arts. 182 y 183 LMTR; 291 a 303 del Código Nacional de Procedimientos Penales), todas </w:t>
      </w:r>
      <w:r>
        <w:rPr>
          <w:rFonts w:ascii="Arial" w:hAnsi="Arial" w:eastAsia="Arial"/>
          <w:b/>
          <w:i w:val="0"/>
          <w:sz w:val="22"/>
        </w:rPr>
        <w:t>individualizadas</w:t>
      </w:r>
      <w:r>
        <w:rPr>
          <w:rFonts w:ascii="Arial" w:hAnsi="Arial" w:eastAsia="Arial"/>
          <w:b w:val="0"/>
          <w:i w:val="0"/>
          <w:sz w:val="22"/>
        </w:rPr>
        <w:t xml:space="preserve"> (recaen sobre la línea relacionada con un hecho concreto), </w:t>
      </w:r>
      <w:r>
        <w:rPr>
          <w:rFonts w:ascii="Arial" w:hAnsi="Arial" w:eastAsia="Arial"/>
          <w:b/>
          <w:i w:val="0"/>
          <w:sz w:val="22"/>
        </w:rPr>
        <w:t>temporales</w:t>
      </w:r>
      <w:r>
        <w:rPr>
          <w:rFonts w:ascii="Arial" w:hAnsi="Arial" w:eastAsia="Arial"/>
          <w:b w:val="0"/>
          <w:i w:val="0"/>
          <w:sz w:val="22"/>
        </w:rPr>
        <w:t xml:space="preserve"> y sujetas a </w:t>
      </w:r>
      <w:r>
        <w:rPr>
          <w:rFonts w:ascii="Arial" w:hAnsi="Arial" w:eastAsia="Arial"/>
          <w:b/>
          <w:i w:val="0"/>
          <w:sz w:val="22"/>
        </w:rPr>
        <w:t>control judicial</w:t>
      </w:r>
      <w:r>
        <w:rPr>
          <w:rFonts w:ascii="Arial" w:hAnsi="Arial" w:eastAsia="Arial"/>
          <w:b w:val="0"/>
          <w:i w:val="0"/>
          <w:sz w:val="22"/>
        </w:rPr>
        <w:t xml:space="preserve">. La identificación obligatoria de toda la población, en cambio, es </w:t>
      </w:r>
      <w:r>
        <w:rPr>
          <w:rFonts w:ascii="Arial" w:hAnsi="Arial" w:eastAsia="Arial"/>
          <w:b/>
          <w:i w:val="0"/>
          <w:sz w:val="22"/>
        </w:rPr>
        <w:t>general, indefinida y sin control judicial</w:t>
      </w:r>
      <w:r>
        <w:rPr>
          <w:rFonts w:ascii="Arial" w:hAnsi="Arial" w:eastAsia="Arial"/>
          <w:b w:val="0"/>
          <w:i w:val="0"/>
          <w:sz w:val="22"/>
        </w:rPr>
        <w:t xml:space="preserve">, y su sanción —la desconexión total— es la más gravosa posible. Entre dos medios igualmente idóneos, la Constitución obliga al menos lesivo; el legislador eligió el más lesivo, y por ello la norma es </w:t>
      </w:r>
      <w:r>
        <w:rPr>
          <w:rFonts w:ascii="Arial" w:hAnsi="Arial" w:eastAsia="Arial"/>
          <w:b/>
          <w:i w:val="0"/>
          <w:sz w:val="22"/>
        </w:rPr>
        <w:t>innecesaria</w:t>
      </w:r>
      <w:r>
        <w:rPr>
          <w:rFonts w:ascii="Arial" w:hAnsi="Arial" w:eastAsia="Arial"/>
          <w:b w:val="0"/>
          <w:i w:val="0"/>
          <w:sz w:val="22"/>
        </w:rPr>
        <w:t xml:space="preserve"> en el sentido constitucional del término. A ello se suma que la propia experiencia nacional (RENAUT 2009-2012) y la internacional confirman que el registro no aporta un beneficio adicional que justifique el sacrificio (véase el capítulo de suspensión, incisos a) a f)).</w:t>
      </w:r>
    </w:p>
    <w:p>
      <w:pPr>
        <w:jc w:val="both"/>
      </w:pPr>
      <w:r>
        <w:rPr>
          <w:rFonts w:ascii="Arial" w:hAnsi="Arial" w:eastAsia="Arial"/>
          <w:b w:val="0"/>
          <w:i w:val="0"/>
          <w:sz w:val="22"/>
        </w:rPr>
        <w:t xml:space="preserve">(4) </w:t>
      </w:r>
      <w:r>
        <w:rPr>
          <w:rFonts w:ascii="Arial" w:hAnsi="Arial" w:eastAsia="Arial"/>
          <w:b/>
          <w:i w:val="0"/>
          <w:sz w:val="22"/>
        </w:rPr>
        <w:t>Proporcionalidad en sentido estricto.</w:t>
      </w:r>
      <w:r>
        <w:rPr>
          <w:rFonts w:ascii="Arial" w:hAnsi="Arial" w:eastAsia="Arial"/>
          <w:b w:val="0"/>
          <w:i w:val="0"/>
          <w:sz w:val="22"/>
        </w:rPr>
        <w:t xml:space="preserve"> El grado de afectación es máximo —se entrega la identidad de toda la población usuaria sin plazo ni control judicial, y a quien no lo hace se le </w:t>
      </w:r>
      <w:r>
        <w:rPr>
          <w:rFonts w:ascii="Arial" w:hAnsi="Arial" w:eastAsia="Arial"/>
          <w:b/>
          <w:i w:val="0"/>
          <w:sz w:val="22"/>
        </w:rPr>
        <w:t>priva del servicio contratado</w:t>
      </w:r>
      <w:r>
        <w:rPr>
          <w:rFonts w:ascii="Arial" w:hAnsi="Arial" w:eastAsia="Arial"/>
          <w:b w:val="0"/>
          <w:i w:val="0"/>
          <w:sz w:val="22"/>
        </w:rPr>
        <w:t>, de su número y del acceso a las telecomunicaciones— frente a un grado de realización del fin que, como demostró el Pleno, es incierto o nulo. El sacrificio es manifiestamente desproporcionado.</w:t>
      </w:r>
    </w:p>
    <w:p>
      <w:pPr>
        <w:jc w:val="both"/>
      </w:pPr>
      <w:r>
        <w:rPr>
          <w:rFonts w:ascii="Arial" w:hAnsi="Arial" w:eastAsia="Arial"/>
          <w:b w:val="0"/>
          <w:i w:val="0"/>
          <w:sz w:val="22"/>
        </w:rPr>
        <w:t>En consecuencia, las normas reclamadas no superan el test de proporcionalidad y su aplicación en mi perjuicio es inconstitucional.</w:t>
      </w:r>
    </w:p>
    <w:p>
      <w:pPr>
        <w:ind w:left="425"/>
        <w:jc w:val="both"/>
      </w:pPr>
      <w:r>
        <w:rPr>
          <w:rFonts w:ascii="Arial" w:hAnsi="Arial" w:eastAsia="Arial"/>
          <w:b w:val="0"/>
          <w:i w:val="0"/>
          <w:sz w:val="22"/>
        </w:rPr>
        <w:t xml:space="preserve">f) </w:t>
      </w:r>
      <w:r>
        <w:rPr>
          <w:rFonts w:ascii="Arial" w:hAnsi="Arial" w:eastAsia="Arial"/>
          <w:b/>
          <w:i w:val="0"/>
          <w:sz w:val="22"/>
        </w:rPr>
        <w:t>Control de convencionalidad.</w:t>
      </w:r>
      <w:r>
        <w:rPr>
          <w:rFonts w:ascii="Arial" w:hAnsi="Arial" w:eastAsia="Arial"/>
          <w:b w:val="0"/>
          <w:i w:val="0"/>
          <w:sz w:val="22"/>
        </w:rPr>
        <w:t xml:space="preserve"> El mismo resultado se impone conforme al estándar interamericano, que esa autoridad debe aplicar </w:t>
      </w:r>
      <w:r>
        <w:rPr>
          <w:rFonts w:ascii="Arial" w:hAnsi="Arial" w:eastAsia="Arial"/>
          <w:b w:val="0"/>
          <w:i/>
          <w:sz w:val="22"/>
        </w:rPr>
        <w:t>ex officio</w:t>
      </w:r>
      <w:r>
        <w:rPr>
          <w:rFonts w:ascii="Arial" w:hAnsi="Arial" w:eastAsia="Arial"/>
          <w:b w:val="0"/>
          <w:i w:val="0"/>
          <w:sz w:val="22"/>
        </w:rPr>
        <w:t xml:space="preserve"> (art. 1o., párrs. 2 y 3, CPEUM): la jurisprudencia de la Corte Interamericana de Derechos Humanos es vinculante para los jueces mexicanos siempre que sea más favorable a la persona (jurisprudencia </w:t>
      </w:r>
      <w:r>
        <w:rPr>
          <w:rFonts w:ascii="Arial" w:hAnsi="Arial" w:eastAsia="Arial"/>
          <w:b/>
          <w:i w:val="0"/>
          <w:sz w:val="22"/>
        </w:rPr>
        <w:t>P./J. 21/2014 (10a.)</w:t>
      </w:r>
      <w:r>
        <w:rPr>
          <w:rFonts w:ascii="Arial" w:hAnsi="Arial" w:eastAsia="Arial"/>
          <w:b w:val="0"/>
          <w:i w:val="0"/>
          <w:sz w:val="22"/>
        </w:rPr>
        <w:t xml:space="preserve">, registro </w:t>
      </w:r>
      <w:r>
        <w:rPr>
          <w:rFonts w:ascii="Arial" w:hAnsi="Arial" w:eastAsia="Arial"/>
          <w:b/>
          <w:i w:val="0"/>
          <w:sz w:val="22"/>
        </w:rPr>
        <w:t>2006225</w:t>
      </w:r>
      <w:r>
        <w:rPr>
          <w:rFonts w:ascii="Arial" w:hAnsi="Arial" w:eastAsia="Arial"/>
          <w:b w:val="0"/>
          <w:i w:val="0"/>
          <w:sz w:val="22"/>
        </w:rPr>
        <w:t xml:space="preserve">), y conforme a ella toda restricción a los derechos de la Convención —aquí, la vida privada (art. 11), la libertad de expresión y de acceso a la información (art. 13) y el alcance de las restricciones (art. 30)— debe (i) estar prevista en una ley en sentido formal y material, (ii) perseguir un fin legítimo y (iii) ser </w:t>
      </w:r>
      <w:r>
        <w:rPr>
          <w:rFonts w:ascii="Arial" w:hAnsi="Arial" w:eastAsia="Arial"/>
          <w:b/>
          <w:i w:val="0"/>
          <w:sz w:val="22"/>
        </w:rPr>
        <w:t>necesaria en una sociedad democrática</w:t>
      </w:r>
      <w:r>
        <w:rPr>
          <w:rFonts w:ascii="Arial" w:hAnsi="Arial" w:eastAsia="Arial"/>
          <w:b w:val="0"/>
          <w:i w:val="0"/>
          <w:sz w:val="22"/>
        </w:rPr>
        <w:t xml:space="preserve"> y proporcional, lo que exige que no exista un medio menos restrictivo para alcanzar el mismo fin. La medida reclamada no satisface la necesidad —como ya lo declaró el Pleno respecto de un sistema equivalente— y ni siquiera la reserva de ley, pues sus elementos esenciales están en lineamientos administrativos y no en la ley.</w:t>
      </w:r>
    </w:p>
    <w:p>
      <w:pPr>
        <w:jc w:val="both"/>
      </w:pPr>
      <w:r>
        <w:rPr>
          <w:rFonts w:ascii="Arial" w:hAnsi="Arial" w:eastAsia="Arial"/>
          <w:b/>
          <w:i w:val="0"/>
          <w:sz w:val="22"/>
        </w:rPr>
        <w:t>SEGUNDO. La deshabilitación de la línea viola el derecho de acceso a las tecnologías de la información y la comunicación y a los servicios de telecomunicaciones (art. 6o., párr. 3, CPEUM), las libertades de expresión e información (arts. 6o. y 7o. CPEUM; 13 CADH; 19 PIDCP) y el principio de progresividad (art. 1o., párr. 3, CPEUM).</w:t>
      </w:r>
    </w:p>
    <w:p>
      <w:pPr>
        <w:ind w:left="425"/>
        <w:jc w:val="both"/>
      </w:pPr>
      <w:r>
        <w:rPr>
          <w:rFonts w:ascii="Arial" w:hAnsi="Arial" w:eastAsia="Arial"/>
          <w:b w:val="0"/>
          <w:i w:val="0"/>
          <w:sz w:val="22"/>
        </w:rPr>
        <w:t xml:space="preserve">a) El artículo 6o., párrafo tercero, constitucional ordena que </w:t>
      </w:r>
      <w:r>
        <w:rPr>
          <w:rFonts w:ascii="Arial" w:hAnsi="Arial" w:eastAsia="Arial"/>
          <w:b w:val="0"/>
          <w:i/>
          <w:sz w:val="22"/>
        </w:rPr>
        <w:t>"el Estado garantizará el derecho de acceso a las tecnologías de la información y comunicación, así como a los servicios de radiodifusión y telecomunicaciones, incluido el de banda ancha e internet"</w:t>
      </w:r>
      <w:r>
        <w:rPr>
          <w:rFonts w:ascii="Arial" w:hAnsi="Arial" w:eastAsia="Arial"/>
          <w:b w:val="0"/>
          <w:i w:val="0"/>
          <w:sz w:val="22"/>
        </w:rPr>
        <w:t xml:space="preserve">. La Segunda Sala ha reconocido que el flujo de información por internet </w:t>
      </w:r>
      <w:r>
        <w:rPr>
          <w:rFonts w:ascii="Arial" w:hAnsi="Arial" w:eastAsia="Arial"/>
          <w:b w:val="0"/>
          <w:i/>
          <w:sz w:val="22"/>
        </w:rPr>
        <w:t>"debe restringirse lo mínimo posible, esto es, en circunstancias excepcionales y limitadas, previstas en la ley, para proteger otros derechos humanos"</w:t>
      </w:r>
      <w:r>
        <w:rPr>
          <w:rFonts w:ascii="Arial" w:hAnsi="Arial" w:eastAsia="Arial"/>
          <w:b w:val="0"/>
          <w:i w:val="0"/>
          <w:sz w:val="22"/>
        </w:rPr>
        <w:t xml:space="preserve"> (tesis </w:t>
      </w:r>
      <w:r>
        <w:rPr>
          <w:rFonts w:ascii="Arial" w:hAnsi="Arial" w:eastAsia="Arial"/>
          <w:b/>
          <w:i w:val="0"/>
          <w:sz w:val="22"/>
        </w:rPr>
        <w:t>2a. CII/2017 (10a.)</w:t>
      </w:r>
      <w:r>
        <w:rPr>
          <w:rFonts w:ascii="Arial" w:hAnsi="Arial" w:eastAsia="Arial"/>
          <w:b w:val="0"/>
          <w:i w:val="0"/>
          <w:sz w:val="22"/>
        </w:rPr>
        <w:t xml:space="preserve">, registro </w:t>
      </w:r>
      <w:r>
        <w:rPr>
          <w:rFonts w:ascii="Arial" w:hAnsi="Arial" w:eastAsia="Arial"/>
          <w:b/>
          <w:i w:val="0"/>
          <w:sz w:val="22"/>
        </w:rPr>
        <w:t>2014515</w:t>
      </w:r>
      <w:r>
        <w:rPr>
          <w:rFonts w:ascii="Arial" w:hAnsi="Arial" w:eastAsia="Arial"/>
          <w:b w:val="0"/>
          <w:i w:val="0"/>
          <w:sz w:val="22"/>
        </w:rPr>
        <w:t>). La línea móvil es hoy el soporte material de ese acceso: por ella se ejercen la libertad de expresión, el acceso a la información, el trabajo, la banca, la salud y la seguridad personal.</w:t>
      </w:r>
    </w:p>
    <w:p>
      <w:pPr>
        <w:ind w:left="425"/>
        <w:jc w:val="both"/>
      </w:pPr>
      <w:r>
        <w:rPr>
          <w:rFonts w:ascii="Arial" w:hAnsi="Arial" w:eastAsia="Arial"/>
          <w:b w:val="0"/>
          <w:i w:val="0"/>
          <w:sz w:val="22"/>
        </w:rPr>
        <w:t xml:space="preserve">b) Las normas reclamadas convierten al Estado garante en Estado que </w:t>
      </w:r>
      <w:r>
        <w:rPr>
          <w:rFonts w:ascii="Arial" w:hAnsi="Arial" w:eastAsia="Arial"/>
          <w:b/>
          <w:i w:val="0"/>
          <w:sz w:val="22"/>
        </w:rPr>
        <w:t>corta</w:t>
      </w:r>
      <w:r>
        <w:rPr>
          <w:rFonts w:ascii="Arial" w:hAnsi="Arial" w:eastAsia="Arial"/>
          <w:b w:val="0"/>
          <w:i w:val="0"/>
          <w:sz w:val="22"/>
        </w:rPr>
        <w:t xml:space="preserve"> el acceso: no regulan la contratación futura, sino que ordenan </w:t>
      </w:r>
      <w:r>
        <w:rPr>
          <w:rFonts w:ascii="Arial" w:hAnsi="Arial" w:eastAsia="Arial"/>
          <w:b/>
          <w:i w:val="0"/>
          <w:sz w:val="22"/>
        </w:rPr>
        <w:t>desconectar</w:t>
      </w:r>
      <w:r>
        <w:rPr>
          <w:rFonts w:ascii="Arial" w:hAnsi="Arial" w:eastAsia="Arial"/>
          <w:b w:val="0"/>
          <w:i w:val="0"/>
          <w:sz w:val="22"/>
        </w:rPr>
        <w:t xml:space="preserve"> a quien ya tiene el servicio, sin incumplimiento contractual alguno de su parte, como medio de coacción para obtener sus datos. Que se conserven las llamadas a números de emergencia no atenúa la privación: se pierde todo lo demás —incluida la posibilidad de </w:t>
      </w:r>
      <w:r>
        <w:rPr>
          <w:rFonts w:ascii="Arial" w:hAnsi="Arial" w:eastAsia="Arial"/>
          <w:b/>
          <w:i w:val="0"/>
          <w:sz w:val="22"/>
        </w:rPr>
        <w:t>recibir</w:t>
      </w:r>
      <w:r>
        <w:rPr>
          <w:rFonts w:ascii="Arial" w:hAnsi="Arial" w:eastAsia="Arial"/>
          <w:b w:val="0"/>
          <w:i w:val="0"/>
          <w:sz w:val="22"/>
        </w:rPr>
        <w:t xml:space="preserve"> una llamada de emergencia—. Se trata, además, de una medida </w:t>
      </w:r>
      <w:r>
        <w:rPr>
          <w:rFonts w:ascii="Arial" w:hAnsi="Arial" w:eastAsia="Arial"/>
          <w:b/>
          <w:i w:val="0"/>
          <w:sz w:val="22"/>
        </w:rPr>
        <w:t>regresiva</w:t>
      </w:r>
      <w:r>
        <w:rPr>
          <w:rFonts w:ascii="Arial" w:hAnsi="Arial" w:eastAsia="Arial"/>
          <w:b w:val="0"/>
          <w:i w:val="0"/>
          <w:sz w:val="22"/>
        </w:rPr>
        <w:t>: el acceso del que la persona ya gozaba se retira sin la justificación reforzada que el principio de progresividad exige (art. 1o., párr. 3, CPEUM).</w:t>
      </w:r>
    </w:p>
    <w:p>
      <w:pPr>
        <w:ind w:left="425"/>
        <w:jc w:val="both"/>
      </w:pPr>
      <w:r>
        <w:rPr>
          <w:rFonts w:ascii="Arial" w:hAnsi="Arial" w:eastAsia="Arial"/>
          <w:b w:val="0"/>
          <w:i w:val="0"/>
          <w:sz w:val="22"/>
        </w:rPr>
        <w:t xml:space="preserve">c) La restricción tampoco es </w:t>
      </w:r>
      <w:r>
        <w:rPr>
          <w:rFonts w:ascii="Arial" w:hAnsi="Arial" w:eastAsia="Arial"/>
          <w:b w:val="0"/>
          <w:i/>
          <w:sz w:val="22"/>
        </w:rPr>
        <w:t>"excepcional y limitada"</w:t>
      </w:r>
      <w:r>
        <w:rPr>
          <w:rFonts w:ascii="Arial" w:hAnsi="Arial" w:eastAsia="Arial"/>
          <w:b w:val="0"/>
          <w:i w:val="0"/>
          <w:sz w:val="22"/>
        </w:rPr>
        <w:t xml:space="preserve">: es universal (toda línea del país), permanente (mientras no se entreguen los datos) y ejecutada por un particular sin resolución individual de autoridad. La ponderación que exige el estándar interamericano (art. 13.2 CADH: restricciones "expresamente fijadas por la ley" y "necesarias") no aparece en el proceso legislativo ni en los considerandos de los Lineamientos; la propia Modificación reconoce haberse emitido </w:t>
      </w:r>
      <w:r>
        <w:rPr>
          <w:rFonts w:ascii="Arial" w:hAnsi="Arial" w:eastAsia="Arial"/>
          <w:b/>
          <w:i w:val="0"/>
          <w:sz w:val="22"/>
        </w:rPr>
        <w:t>sin consulta pública</w:t>
      </w:r>
      <w:r>
        <w:rPr>
          <w:rFonts w:ascii="Arial" w:hAnsi="Arial" w:eastAsia="Arial"/>
          <w:b w:val="0"/>
          <w:i w:val="0"/>
          <w:sz w:val="22"/>
        </w:rPr>
        <w:t xml:space="preserve"> (considerandos, con apoyo en el art. 30 LMTR y en el art. 10 de los Lineamientos de Consulta Pública de la CRT).</w:t>
      </w:r>
    </w:p>
    <w:p>
      <w:pPr>
        <w:jc w:val="both"/>
      </w:pPr>
      <w:r>
        <w:rPr>
          <w:rFonts w:ascii="Arial" w:hAnsi="Arial" w:eastAsia="Arial"/>
          <w:b/>
          <w:i w:val="0"/>
          <w:sz w:val="22"/>
        </w:rPr>
        <w:t>TERCERO. Violación a los derechos de seguridad jurídica, legalidad y audiencia (arts. 14 y 16 CPEUM): la ley delega en el regulador la definición de la obligación y de la sanción; los Lineamientos exceden la ley; y se priva, sin juicio previo, de un servicio derivado de una relación jurídica preexistente.</w:t>
      </w:r>
    </w:p>
    <w:p>
      <w:pPr>
        <w:ind w:left="425"/>
        <w:jc w:val="both"/>
      </w:pPr>
      <w:r>
        <w:rPr>
          <w:rFonts w:ascii="Arial" w:hAnsi="Arial" w:eastAsia="Arial"/>
          <w:b w:val="0"/>
          <w:i w:val="0"/>
          <w:sz w:val="22"/>
        </w:rPr>
        <w:t xml:space="preserve">a) </w:t>
      </w:r>
      <w:r>
        <w:rPr>
          <w:rFonts w:ascii="Arial" w:hAnsi="Arial" w:eastAsia="Arial"/>
          <w:b/>
          <w:i w:val="0"/>
          <w:sz w:val="22"/>
        </w:rPr>
        <w:t>Reserva de ley y norma en blanco.</w:t>
      </w:r>
      <w:r>
        <w:rPr>
          <w:rFonts w:ascii="Arial" w:hAnsi="Arial" w:eastAsia="Arial"/>
          <w:b w:val="0"/>
          <w:i w:val="0"/>
          <w:sz w:val="22"/>
        </w:rPr>
        <w:t xml:space="preserve"> El artículo 103 de la LMTR no define qué datos se recaban, cómo se validan, quién los resguarda, por cuánto tiempo, con qué medidas de seguridad ni cuál es el procedimiento y el plazo para la "suspensión": todo lo remite a </w:t>
      </w:r>
      <w:r>
        <w:rPr>
          <w:rFonts w:ascii="Arial" w:hAnsi="Arial" w:eastAsia="Arial"/>
          <w:b w:val="0"/>
          <w:i/>
          <w:sz w:val="22"/>
        </w:rPr>
        <w:t>"los lineamientos que para tal efecto emita la Comisión"</w:t>
      </w:r>
      <w:r>
        <w:rPr>
          <w:rFonts w:ascii="Arial" w:hAnsi="Arial" w:eastAsia="Arial"/>
          <w:b w:val="0"/>
          <w:i w:val="0"/>
          <w:sz w:val="22"/>
        </w:rPr>
        <w:t>. Una restricción de derechos fundamentales de este alcance exige que sus elementos esenciales consten en ley formal y material —así lo sostuvo el Pleno respecto del PANAUT (AI 82/2021, párrs. 415-416)—; la delegación total a un órgano desconcentrado del Ejecutivo viola el principio de reserva de ley y la seguridad jurídica.</w:t>
      </w:r>
    </w:p>
    <w:p>
      <w:pPr>
        <w:ind w:left="425"/>
        <w:jc w:val="both"/>
      </w:pPr>
      <w:r>
        <w:rPr>
          <w:rFonts w:ascii="Arial" w:hAnsi="Arial" w:eastAsia="Arial"/>
          <w:b w:val="0"/>
          <w:i w:val="0"/>
          <w:sz w:val="22"/>
        </w:rPr>
        <w:t xml:space="preserve">b) </w:t>
      </w:r>
      <w:r>
        <w:rPr>
          <w:rFonts w:ascii="Arial" w:hAnsi="Arial" w:eastAsia="Arial"/>
          <w:b/>
          <w:i w:val="0"/>
          <w:sz w:val="22"/>
        </w:rPr>
        <w:t>Los Lineamientos exceden la ley.</w:t>
      </w:r>
      <w:r>
        <w:rPr>
          <w:rFonts w:ascii="Arial" w:hAnsi="Arial" w:eastAsia="Arial"/>
          <w:b w:val="0"/>
          <w:i w:val="0"/>
          <w:sz w:val="22"/>
        </w:rPr>
        <w:t xml:space="preserve"> La LMTR habla de presentar una </w:t>
      </w:r>
      <w:r>
        <w:rPr>
          <w:rFonts w:ascii="Arial" w:hAnsi="Arial" w:eastAsia="Arial"/>
          <w:b w:val="0"/>
          <w:i/>
          <w:sz w:val="22"/>
        </w:rPr>
        <w:t>"identificación oficial"</w:t>
      </w:r>
      <w:r>
        <w:rPr>
          <w:rFonts w:ascii="Arial" w:hAnsi="Arial" w:eastAsia="Arial"/>
          <w:b w:val="0"/>
          <w:i w:val="0"/>
          <w:sz w:val="22"/>
        </w:rPr>
        <w:t xml:space="preserve"> con CURP; los Lineamientos añaden una </w:t>
      </w:r>
      <w:r>
        <w:rPr>
          <w:rFonts w:ascii="Arial" w:hAnsi="Arial" w:eastAsia="Arial"/>
          <w:b/>
          <w:i w:val="0"/>
          <w:sz w:val="22"/>
        </w:rPr>
        <w:t>prueba de vida</w:t>
      </w:r>
      <w:r>
        <w:rPr>
          <w:rFonts w:ascii="Arial" w:hAnsi="Arial" w:eastAsia="Arial"/>
          <w:b w:val="0"/>
          <w:i w:val="0"/>
          <w:sz w:val="22"/>
        </w:rPr>
        <w:t xml:space="preserve"> (art. 24, fracc. IV), un </w:t>
      </w:r>
      <w:r>
        <w:rPr>
          <w:rFonts w:ascii="Arial" w:hAnsi="Arial" w:eastAsia="Arial"/>
          <w:b/>
          <w:i w:val="0"/>
          <w:sz w:val="22"/>
        </w:rPr>
        <w:t>límite de diez líneas</w:t>
      </w:r>
      <w:r>
        <w:rPr>
          <w:rFonts w:ascii="Arial" w:hAnsi="Arial" w:eastAsia="Arial"/>
          <w:b w:val="0"/>
          <w:i w:val="0"/>
          <w:sz w:val="22"/>
        </w:rPr>
        <w:t xml:space="preserve"> por persona (art. 10), la </w:t>
      </w:r>
      <w:r>
        <w:rPr>
          <w:rFonts w:ascii="Arial" w:hAnsi="Arial" w:eastAsia="Arial"/>
          <w:b/>
          <w:i w:val="0"/>
          <w:sz w:val="22"/>
        </w:rPr>
        <w:t>pérdida del número</w:t>
      </w:r>
      <w:r>
        <w:rPr>
          <w:rFonts w:ascii="Arial" w:hAnsi="Arial" w:eastAsia="Arial"/>
          <w:b w:val="0"/>
          <w:i w:val="0"/>
          <w:sz w:val="22"/>
        </w:rPr>
        <w:t xml:space="preserve"> al término del "ciclo de vida" (arts. 2, fracc. VI, y 7, fracc. VI), y un </w:t>
      </w:r>
      <w:r>
        <w:rPr>
          <w:rFonts w:ascii="Arial" w:hAnsi="Arial" w:eastAsia="Arial"/>
          <w:b/>
          <w:i w:val="0"/>
          <w:sz w:val="22"/>
        </w:rPr>
        <w:t>calendario y plazo de 72 horas</w:t>
      </w:r>
      <w:r>
        <w:rPr>
          <w:rFonts w:ascii="Arial" w:hAnsi="Arial" w:eastAsia="Arial"/>
          <w:b w:val="0"/>
          <w:i w:val="0"/>
          <w:sz w:val="22"/>
        </w:rPr>
        <w:t xml:space="preserve"> (Modificación, Segundo Transitorio) que no derivan del texto legal. El artículo Trigésimo Transitorio de la LMTR ordena la suspensión </w:t>
      </w:r>
      <w:r>
        <w:rPr>
          <w:rFonts w:ascii="Arial" w:hAnsi="Arial" w:eastAsia="Arial"/>
          <w:b w:val="0"/>
          <w:i/>
          <w:sz w:val="22"/>
        </w:rPr>
        <w:t>"transcurridos ciento veinte días hábiles posteriores a la conclusión de la implementación de la medida"</w:t>
      </w:r>
      <w:r>
        <w:rPr>
          <w:rFonts w:ascii="Arial" w:hAnsi="Arial" w:eastAsia="Arial"/>
          <w:b w:val="0"/>
          <w:i w:val="0"/>
          <w:sz w:val="22"/>
        </w:rPr>
        <w:t>; el Sexto Transitorio de los Lineamientos y la Modificación construyen sobre esa base un régimen sancionador propio, con hipótesis, plazos y consecuencias que la ley no contiene. Un acto administrativo general no puede crear cargas ni sanciones que la ley no prevé.</w:t>
      </w:r>
    </w:p>
    <w:p>
      <w:pPr>
        <w:jc w:val="both"/>
      </w:pPr>
      <w:r>
        <w:rPr>
          <w:rFonts w:ascii="Arial" w:hAnsi="Arial" w:eastAsia="Arial"/>
          <w:b w:val="0"/>
          <w:i w:val="0"/>
          <w:sz w:val="22"/>
        </w:rPr>
        <w:t xml:space="preserve">La carga biométrica merece mención aparte. La </w:t>
      </w:r>
      <w:r>
        <w:rPr>
          <w:rFonts w:ascii="Arial" w:hAnsi="Arial" w:eastAsia="Arial"/>
          <w:b w:val="0"/>
          <w:i/>
          <w:sz w:val="22"/>
        </w:rPr>
        <w:t>Prueba de Vida</w:t>
      </w:r>
      <w:r>
        <w:rPr>
          <w:rFonts w:ascii="Arial" w:hAnsi="Arial" w:eastAsia="Arial"/>
          <w:b w:val="0"/>
          <w:i w:val="0"/>
          <w:sz w:val="22"/>
        </w:rPr>
        <w:t xml:space="preserve"> está definida como el proceso para validar </w:t>
      </w:r>
      <w:r>
        <w:rPr>
          <w:rFonts w:ascii="Arial" w:hAnsi="Arial" w:eastAsia="Arial"/>
          <w:b/>
          <w:i w:val="0"/>
          <w:sz w:val="22"/>
        </w:rPr>
        <w:t>remotamente</w:t>
      </w:r>
      <w:r>
        <w:rPr>
          <w:rFonts w:ascii="Arial" w:hAnsi="Arial" w:eastAsia="Arial"/>
          <w:b w:val="0"/>
          <w:i w:val="0"/>
          <w:sz w:val="22"/>
        </w:rPr>
        <w:t xml:space="preserve"> que quien tramita corresponde al titular de la identificación (art. 2, fracc. XXV, de los Lineamientos) y se exige tanto para vincular por internet (art. 24, fracc. IV) como para </w:t>
      </w:r>
      <w:r>
        <w:rPr>
          <w:rFonts w:ascii="Arial" w:hAnsi="Arial" w:eastAsia="Arial"/>
          <w:b/>
          <w:i w:val="0"/>
          <w:sz w:val="22"/>
        </w:rPr>
        <w:t>desvincular</w:t>
      </w:r>
      <w:r>
        <w:rPr>
          <w:rFonts w:ascii="Arial" w:hAnsi="Arial" w:eastAsia="Arial"/>
          <w:b w:val="0"/>
          <w:i w:val="0"/>
          <w:sz w:val="22"/>
        </w:rPr>
        <w:t xml:space="preserve"> la línea (art. 31, fracc. IV); y, a partir de la Modificación, también quien acude </w:t>
      </w:r>
      <w:r>
        <w:rPr>
          <w:rFonts w:ascii="Arial" w:hAnsi="Arial" w:eastAsia="Arial"/>
          <w:b/>
          <w:i w:val="0"/>
          <w:sz w:val="22"/>
        </w:rPr>
        <w:t>presencialmente</w:t>
      </w:r>
      <w:r>
        <w:rPr>
          <w:rFonts w:ascii="Arial" w:hAnsi="Arial" w:eastAsia="Arial"/>
          <w:b w:val="0"/>
          <w:i w:val="0"/>
          <w:sz w:val="22"/>
        </w:rPr>
        <w:t xml:space="preserve"> a desvincular es reconducido a ese mismo procedimiento (art. 30 reformado, que suprimió sus fracciones I a IV y remite al artículo 31), de modo que </w:t>
      </w:r>
      <w:r>
        <w:rPr>
          <w:rFonts w:ascii="Arial" w:hAnsi="Arial" w:eastAsia="Arial"/>
          <w:b/>
          <w:i w:val="0"/>
          <w:sz w:val="22"/>
        </w:rPr>
        <w:t>salir del registro exige siempre someterse a un reconocimiento facial</w:t>
      </w:r>
      <w:r>
        <w:rPr>
          <w:rFonts w:ascii="Arial" w:hAnsi="Arial" w:eastAsia="Arial"/>
          <w:b w:val="0"/>
          <w:i w:val="0"/>
          <w:sz w:val="22"/>
        </w:rPr>
        <w:t xml:space="preserve">: hasta el retiro de los propios datos queda condicionado a entregar un dato más íntimo. Se trata del tratamiento de un dato biométrico —dato personal </w:t>
      </w:r>
      <w:r>
        <w:rPr>
          <w:rFonts w:ascii="Arial" w:hAnsi="Arial" w:eastAsia="Arial"/>
          <w:b/>
          <w:i w:val="0"/>
          <w:sz w:val="22"/>
        </w:rPr>
        <w:t>sensible</w:t>
      </w:r>
      <w:r>
        <w:rPr>
          <w:rFonts w:ascii="Arial" w:hAnsi="Arial" w:eastAsia="Arial"/>
          <w:b w:val="0"/>
          <w:i w:val="0"/>
          <w:sz w:val="22"/>
        </w:rPr>
        <w:t xml:space="preserve">— que la ley no previó ni autorizó: los artículos 103 y 164, fracción III, de la LMTR hablan únicamente de </w:t>
      </w:r>
      <w:r>
        <w:rPr>
          <w:rFonts w:ascii="Arial" w:hAnsi="Arial" w:eastAsia="Arial"/>
          <w:b w:val="0"/>
          <w:i/>
          <w:sz w:val="22"/>
        </w:rPr>
        <w:t>"identificación oficial"</w:t>
      </w:r>
      <w:r>
        <w:rPr>
          <w:rFonts w:ascii="Arial" w:hAnsi="Arial" w:eastAsia="Arial"/>
          <w:b w:val="0"/>
          <w:i w:val="0"/>
          <w:sz w:val="22"/>
        </w:rPr>
        <w:t xml:space="preserve">. El propio considerando de la Modificación documenta el origen de la exigencia: fueron los proveedores del servicio quienes plantearon </w:t>
      </w:r>
      <w:r>
        <w:rPr>
          <w:rFonts w:ascii="Arial" w:hAnsi="Arial" w:eastAsia="Arial"/>
          <w:b w:val="0"/>
          <w:i/>
          <w:sz w:val="22"/>
        </w:rPr>
        <w:t>"incorporar la solicitud de prueba de vida en el proceso de vinculación en modalidad presencial"</w:t>
      </w:r>
      <w:r>
        <w:rPr>
          <w:rFonts w:ascii="Arial" w:hAnsi="Arial" w:eastAsia="Arial"/>
          <w:b w:val="0"/>
          <w:i w:val="0"/>
          <w:sz w:val="22"/>
        </w:rPr>
        <w:t xml:space="preserve"> — la carga nace de la conveniencia operativa de los particulares regulados, no de una decisión del legislador. Y no purga el vicio el artículo 44 de los Lineamientos (que prohíbe conservar biométricos): la afectación se consuma con la </w:t>
      </w:r>
      <w:r>
        <w:rPr>
          <w:rFonts w:ascii="Arial" w:hAnsi="Arial" w:eastAsia="Arial"/>
          <w:b/>
          <w:i w:val="0"/>
          <w:sz w:val="22"/>
        </w:rPr>
        <w:t>captura y el procesamiento</w:t>
      </w:r>
      <w:r>
        <w:rPr>
          <w:rFonts w:ascii="Arial" w:hAnsi="Arial" w:eastAsia="Arial"/>
          <w:b w:val="0"/>
          <w:i w:val="0"/>
          <w:sz w:val="22"/>
        </w:rPr>
        <w:t xml:space="preserve"> del rostro, no con su archivo — la propia plataforma está diseñada para </w:t>
      </w:r>
      <w:r>
        <w:rPr>
          <w:rFonts w:ascii="Arial" w:hAnsi="Arial" w:eastAsia="Arial"/>
          <w:b w:val="0"/>
          <w:i/>
          <w:sz w:val="22"/>
        </w:rPr>
        <w:t>"permitir la captura de los datos necesarios para la... Prueba de Vida"</w:t>
      </w:r>
      <w:r>
        <w:rPr>
          <w:rFonts w:ascii="Arial" w:hAnsi="Arial" w:eastAsia="Arial"/>
          <w:b w:val="0"/>
          <w:i w:val="0"/>
          <w:sz w:val="22"/>
        </w:rPr>
        <w:t xml:space="preserve"> (art. 34, fracc. II) —, de modo que la prohibición de almacenar no devuelve lo que ya se obtuvo ni convierte en legal una exigencia que carece de base en la ley.</w:t>
      </w:r>
    </w:p>
    <w:p>
      <w:pPr>
        <w:ind w:left="425"/>
        <w:jc w:val="both"/>
      </w:pPr>
      <w:r>
        <w:rPr>
          <w:rFonts w:ascii="Arial" w:hAnsi="Arial" w:eastAsia="Arial"/>
          <w:b w:val="0"/>
          <w:i w:val="0"/>
          <w:sz w:val="22"/>
        </w:rPr>
        <w:t xml:space="preserve">c) </w:t>
      </w:r>
      <w:r>
        <w:rPr>
          <w:rFonts w:ascii="Arial" w:hAnsi="Arial" w:eastAsia="Arial"/>
          <w:b/>
          <w:i w:val="0"/>
          <w:sz w:val="22"/>
        </w:rPr>
        <w:t>Privación sin juicio.</w:t>
      </w:r>
      <w:r>
        <w:rPr>
          <w:rFonts w:ascii="Arial" w:hAnsi="Arial" w:eastAsia="Arial"/>
          <w:b w:val="0"/>
          <w:i w:val="0"/>
          <w:sz w:val="22"/>
        </w:rPr>
        <w:t xml:space="preserve"> El servicio contratado y el número asignado forman parte de la esfera jurídica del usuario: la propia LMTR le reconoce el derecho a </w:t>
      </w:r>
      <w:r>
        <w:rPr>
          <w:rFonts w:ascii="Arial" w:hAnsi="Arial" w:eastAsia="Arial"/>
          <w:b w:val="0"/>
          <w:i/>
          <w:sz w:val="22"/>
        </w:rPr>
        <w:t>"exigir el cumplimiento forzoso del contrato"</w:t>
      </w:r>
      <w:r>
        <w:rPr>
          <w:rFonts w:ascii="Arial" w:hAnsi="Arial" w:eastAsia="Arial"/>
          <w:b w:val="0"/>
          <w:i w:val="0"/>
          <w:sz w:val="22"/>
        </w:rPr>
        <w:t xml:space="preserve"> y a ser notificado con treinta días de anticipación de cualquier cambio en las condiciones contratadas (art. 185, fraccs. IX y X). La deshabilitación es una </w:t>
      </w:r>
      <w:r>
        <w:rPr>
          <w:rFonts w:ascii="Arial" w:hAnsi="Arial" w:eastAsia="Arial"/>
          <w:b/>
          <w:i w:val="0"/>
          <w:sz w:val="22"/>
        </w:rPr>
        <w:t>privación</w:t>
      </w:r>
      <w:r>
        <w:rPr>
          <w:rFonts w:ascii="Arial" w:hAnsi="Arial" w:eastAsia="Arial"/>
          <w:b w:val="0"/>
          <w:i w:val="0"/>
          <w:sz w:val="22"/>
        </w:rPr>
        <w:t xml:space="preserve"> de ese derecho —no una mera molestia—, ejecutada sin procedimiento, sin audiencia previa y sin resolución de autoridad competente que la funde y motive en el caso concreto (arts. 14, párr. 2, y 16, párr. 1, CPEUM). El mensaje SMS con el que se anuncia (</w:t>
      </w:r>
      <w:r>
        <w:rPr>
          <w:rFonts w:ascii="Arial" w:hAnsi="Arial" w:eastAsia="Arial"/>
          <w:b w:val="0"/>
          <w:i/>
          <w:sz w:val="22"/>
        </w:rPr>
        <w:t>"…sera suspendida en las proximas 72 horas"</w:t>
      </w:r>
      <w:r>
        <w:rPr>
          <w:rFonts w:ascii="Arial" w:hAnsi="Arial" w:eastAsia="Arial"/>
          <w:b w:val="0"/>
          <w:i w:val="0"/>
          <w:sz w:val="22"/>
        </w:rPr>
        <w:t xml:space="preserve">) no es un mandamiento escrito de autoridad competente: es un aviso de un particular. La audiencia previa no se satisface con la posibilidad de un medio de defensa posterior, pues en él la persona </w:t>
      </w:r>
      <w:r>
        <w:rPr>
          <w:rFonts w:ascii="Arial" w:hAnsi="Arial" w:eastAsia="Arial"/>
          <w:b w:val="0"/>
          <w:i/>
          <w:sz w:val="22"/>
        </w:rPr>
        <w:t>"llega vencida y tendría la carga de demostrar su inocencia"</w:t>
      </w:r>
      <w:r>
        <w:rPr>
          <w:rFonts w:ascii="Arial" w:hAnsi="Arial" w:eastAsia="Arial"/>
          <w:b w:val="0"/>
          <w:i w:val="0"/>
          <w:sz w:val="22"/>
        </w:rPr>
        <w:t xml:space="preserve"> (tesis </w:t>
      </w:r>
      <w:r>
        <w:rPr>
          <w:rFonts w:ascii="Arial" w:hAnsi="Arial" w:eastAsia="Arial"/>
          <w:b/>
          <w:i w:val="0"/>
          <w:sz w:val="22"/>
        </w:rPr>
        <w:t>I.20o.A.36 A (11a.)</w:t>
      </w:r>
      <w:r>
        <w:rPr>
          <w:rFonts w:ascii="Arial" w:hAnsi="Arial" w:eastAsia="Arial"/>
          <w:b w:val="0"/>
          <w:i w:val="0"/>
          <w:sz w:val="22"/>
        </w:rPr>
        <w:t xml:space="preserve">, registro </w:t>
      </w:r>
      <w:r>
        <w:rPr>
          <w:rFonts w:ascii="Arial" w:hAnsi="Arial" w:eastAsia="Arial"/>
          <w:b/>
          <w:i w:val="0"/>
          <w:sz w:val="22"/>
        </w:rPr>
        <w:t>2029061</w:t>
      </w:r>
      <w:r>
        <w:rPr>
          <w:rFonts w:ascii="Arial" w:hAnsi="Arial" w:eastAsia="Arial"/>
          <w:b w:val="0"/>
          <w:i w:val="0"/>
          <w:sz w:val="22"/>
        </w:rPr>
        <w:t>).</w:t>
      </w:r>
    </w:p>
    <w:p>
      <w:pPr>
        <w:ind w:left="425"/>
        <w:jc w:val="both"/>
      </w:pPr>
      <w:r>
        <w:rPr>
          <w:rFonts w:ascii="Arial" w:hAnsi="Arial" w:eastAsia="Arial"/>
          <w:b w:val="0"/>
          <w:i w:val="0"/>
          <w:sz w:val="22"/>
        </w:rPr>
        <w:t xml:space="preserve">d) </w:t>
      </w:r>
      <w:r>
        <w:rPr>
          <w:rFonts w:ascii="Arial" w:hAnsi="Arial" w:eastAsia="Arial"/>
          <w:b/>
          <w:i w:val="0"/>
          <w:sz w:val="22"/>
        </w:rPr>
        <w:t>Trato de sospecha generalizada.</w:t>
      </w:r>
      <w:r>
        <w:rPr>
          <w:rFonts w:ascii="Arial" w:hAnsi="Arial" w:eastAsia="Arial"/>
          <w:b w:val="0"/>
          <w:i w:val="0"/>
          <w:sz w:val="22"/>
        </w:rPr>
        <w:t xml:space="preserve"> Al condicionar la conservación de un servicio lícito a que la persona acredite su identidad ante un particular para fines de seguridad pública, el sistema trata a toda la población usuaria como potencial infractora, en tensión con la presunción de inocencia en su vertiente de regla de trato (art. 20, apartado B, fracc. I, CPEUM), que el Pleno consideró relevante al invalidar el PANAUT.</w:t>
      </w:r>
    </w:p>
    <w:p>
      <w:pPr>
        <w:jc w:val="both"/>
      </w:pPr>
      <w:r>
        <w:rPr>
          <w:rFonts w:ascii="Arial" w:hAnsi="Arial" w:eastAsia="Arial"/>
          <w:b/>
          <w:i w:val="0"/>
          <w:sz w:val="22"/>
        </w:rPr>
        <w:t>CUARTO. Vicios propios del acto de aplicación (art. 16, párr. 1, CPEUM).</w:t>
      </w:r>
      <w:r>
        <w:rPr>
          <w:rFonts w:ascii="Arial" w:hAnsi="Arial" w:eastAsia="Arial"/>
          <w:b w:val="0"/>
          <w:i w:val="0"/>
          <w:sz w:val="22"/>
        </w:rPr>
        <w:t xml:space="preserve"> [Adaptar al escenario.] La deshabilitación de mi línea (o la orden de deshabilitarla) </w:t>
      </w:r>
      <w:r>
        <w:rPr>
          <w:rFonts w:ascii="Arial" w:hAnsi="Arial" w:eastAsia="Arial"/>
          <w:b/>
          <w:i w:val="0"/>
          <w:color w:val="EE0000"/>
          <w:sz w:val="22"/>
        </w:rPr>
        <w:t>no consta en mandamiento escrito de autoridad competente</w:t>
      </w:r>
      <w:r>
        <w:rPr>
          <w:rFonts w:ascii="Arial" w:hAnsi="Arial" w:eastAsia="Arial"/>
          <w:b w:val="0"/>
          <w:i w:val="0"/>
          <w:sz w:val="22"/>
        </w:rPr>
        <w:t xml:space="preserve">, no me fue notificada personalmente, no cita fundamento legal alguno, no expresa los motivos particulares por los que mi línea en concreto debía suspenderse ni me otorgó plazo o instancia para manifestar lo que a mi derecho conviniera. Fue ejecutada materialmente por [prestadora], persona moral privada, sin que exista resolución individualizada de la CRT ni de autoridad alguna. Aun si se estimara que la orden proviene directamente de la ley, el artículo 16 constitucional exige que </w:t>
      </w:r>
      <w:r>
        <w:rPr>
          <w:rFonts w:ascii="Arial" w:hAnsi="Arial" w:eastAsia="Arial"/>
          <w:b/>
          <w:i w:val="0"/>
          <w:sz w:val="22"/>
        </w:rPr>
        <w:t>todo acto de molestia</w:t>
      </w:r>
      <w:r>
        <w:rPr>
          <w:rFonts w:ascii="Arial" w:hAnsi="Arial" w:eastAsia="Arial"/>
          <w:b w:val="0"/>
          <w:i w:val="0"/>
          <w:sz w:val="22"/>
        </w:rPr>
        <w:t xml:space="preserve"> —con mayor razón uno privativo— se contenga en un mandamiento escrito fundado y motivado; la ejecución automática por un particular, con base en un calendario general, no satisface esa exigencia mínima.</w:t>
      </w:r>
    </w:p>
    <w:p>
      <w:pPr>
        <w:jc w:val="both"/>
      </w:pPr>
      <w:r>
        <w:rPr>
          <w:rFonts w:ascii="Arial" w:hAnsi="Arial" w:eastAsia="Arial"/>
          <w:b/>
          <w:i w:val="0"/>
          <w:sz w:val="22"/>
        </w:rPr>
        <w:t>QUINTO. La Modificación reclamada se emitió con indebida exención de la consulta pública que la ley ordena (arts. 14 y 16 CPEUM; 30 LMTR; 10, 18 y 20 de los Lineamientos de Consulta Pública de la propia Comisión, DOF 28-10-2025).</w:t>
      </w:r>
    </w:p>
    <w:p>
      <w:pPr>
        <w:ind w:left="425"/>
        <w:jc w:val="both"/>
      </w:pPr>
      <w:r>
        <w:rPr>
          <w:rFonts w:ascii="Arial" w:hAnsi="Arial" w:eastAsia="Arial"/>
          <w:b w:val="0"/>
          <w:i w:val="0"/>
          <w:sz w:val="22"/>
        </w:rPr>
        <w:t xml:space="preserve">a) </w:t>
      </w:r>
      <w:r>
        <w:rPr>
          <w:rFonts w:ascii="Arial" w:hAnsi="Arial" w:eastAsia="Arial"/>
          <w:b/>
          <w:i w:val="0"/>
          <w:sz w:val="22"/>
        </w:rPr>
        <w:t>La consulta pública es un mandato, no una cortesía.</w:t>
      </w:r>
      <w:r>
        <w:rPr>
          <w:rFonts w:ascii="Arial" w:hAnsi="Arial" w:eastAsia="Arial"/>
          <w:b w:val="0"/>
          <w:i w:val="0"/>
          <w:sz w:val="22"/>
        </w:rPr>
        <w:t xml:space="preserve"> El artículo 30 de la LMTR dispone que, para la emisión y modificación de lineamientos, la Comisión </w:t>
      </w:r>
      <w:r>
        <w:rPr>
          <w:rFonts w:ascii="Arial" w:hAnsi="Arial" w:eastAsia="Arial"/>
          <w:b w:val="0"/>
          <w:i/>
          <w:sz w:val="22"/>
        </w:rPr>
        <w:t>"deberá realizar consultas públicas bajo los principios de transparencia y participación ciudadana"</w:t>
      </w:r>
      <w:r>
        <w:rPr>
          <w:rFonts w:ascii="Arial" w:hAnsi="Arial" w:eastAsia="Arial"/>
          <w:b w:val="0"/>
          <w:i w:val="0"/>
          <w:sz w:val="22"/>
        </w:rPr>
        <w:t xml:space="preserve">, y solo la exceptúa cuando </w:t>
      </w:r>
      <w:r>
        <w:rPr>
          <w:rFonts w:ascii="Arial" w:hAnsi="Arial" w:eastAsia="Arial"/>
          <w:b w:val="0"/>
          <w:i/>
          <w:sz w:val="22"/>
        </w:rPr>
        <w:t>"la publicidad pudiera comprometer los efectos que se pretenden resolver o prevenir en una situación de emergencia"</w:t>
      </w:r>
      <w:r>
        <w:rPr>
          <w:rFonts w:ascii="Arial" w:hAnsi="Arial" w:eastAsia="Arial"/>
          <w:b w:val="0"/>
          <w:i w:val="0"/>
          <w:sz w:val="22"/>
        </w:rPr>
        <w:t xml:space="preserve">. La propia Comisión reglamentó ese mandato en sus Lineamientos de Consulta Pública (DOF 28-10-2025): toda consulta dura al menos veinte días, con posibilidad de </w:t>
      </w:r>
      <w:r>
        <w:rPr>
          <w:rFonts w:ascii="Arial" w:hAnsi="Arial" w:eastAsia="Arial"/>
          <w:b/>
          <w:i w:val="0"/>
          <w:sz w:val="22"/>
        </w:rPr>
        <w:t>reducir el plazo</w:t>
      </w:r>
      <w:r>
        <w:rPr>
          <w:rFonts w:ascii="Arial" w:hAnsi="Arial" w:eastAsia="Arial"/>
          <w:b w:val="0"/>
          <w:i w:val="0"/>
          <w:sz w:val="22"/>
        </w:rPr>
        <w:t xml:space="preserve"> por causa justificada (art. 18), y la exención exige una justificación elaborada por la unidad competente, sometida al Pleno y publicada en el portal (arts. 10 y 20). Las excepciones a un mandato legal de participación son de interpretación estricta: si bastara invocarlas sin rigor, la excepción devoraría la regla y el derecho de participación quedaría vacío.</w:t>
      </w:r>
    </w:p>
    <w:p>
      <w:pPr>
        <w:ind w:left="425"/>
        <w:jc w:val="both"/>
      </w:pPr>
      <w:r>
        <w:rPr>
          <w:rFonts w:ascii="Arial" w:hAnsi="Arial" w:eastAsia="Arial"/>
          <w:b w:val="0"/>
          <w:i w:val="0"/>
          <w:sz w:val="22"/>
        </w:rPr>
        <w:t xml:space="preserve">b) </w:t>
      </w:r>
      <w:r>
        <w:rPr>
          <w:rFonts w:ascii="Arial" w:hAnsi="Arial" w:eastAsia="Arial"/>
          <w:b/>
          <w:i w:val="0"/>
          <w:sz w:val="22"/>
        </w:rPr>
        <w:t>La justificación de la exención no resiste el examen.</w:t>
      </w:r>
      <w:r>
        <w:rPr>
          <w:rFonts w:ascii="Arial" w:hAnsi="Arial" w:eastAsia="Arial"/>
          <w:b w:val="0"/>
          <w:i w:val="0"/>
          <w:sz w:val="22"/>
        </w:rPr>
        <w:t xml:space="preserve"> El Acuerdo reclamado dispensó la consulta invocando el supuesto del artículo 10, fracción I, de los Lineamientos de Consulta Pública —que la publicidad </w:t>
      </w:r>
      <w:r>
        <w:rPr>
          <w:rFonts w:ascii="Arial" w:hAnsi="Arial" w:eastAsia="Arial"/>
          <w:b w:val="0"/>
          <w:i/>
          <w:sz w:val="22"/>
        </w:rPr>
        <w:t>"pueda comprometer los efectos que la Comisión pretenda lograr"</w:t>
      </w:r>
      <w:r>
        <w:rPr>
          <w:rFonts w:ascii="Arial" w:hAnsi="Arial" w:eastAsia="Arial"/>
          <w:b w:val="0"/>
          <w:i w:val="0"/>
          <w:sz w:val="22"/>
        </w:rPr>
        <w:t xml:space="preserve">—, pero lo motivó con un razonamiento distinto: que aplazar la publicación provocaría </w:t>
      </w:r>
      <w:r>
        <w:rPr>
          <w:rFonts w:ascii="Arial" w:hAnsi="Arial" w:eastAsia="Arial"/>
          <w:b w:val="0"/>
          <w:i/>
          <w:sz w:val="22"/>
        </w:rPr>
        <w:t>"la deshabilitación simultánea de las líneas telefónicas móviles que no hayan sido vinculadas a un Titular al 30 de junio de 2026... con un potencial impacto adverso en la operatividad de las redes de telecomunicaciones por la sobrecarga en la señalización"</w:t>
      </w:r>
      <w:r>
        <w:rPr>
          <w:rFonts w:ascii="Arial" w:hAnsi="Arial" w:eastAsia="Arial"/>
          <w:b w:val="0"/>
          <w:i w:val="0"/>
          <w:sz w:val="22"/>
        </w:rPr>
        <w:t xml:space="preserve"> (considerandos de la Modificación). Ese motivo no corresponde a la fracción invocada, sino, en todo caso, a la fracción II (situación de emergencia que afecte </w:t>
      </w:r>
      <w:r>
        <w:rPr>
          <w:rFonts w:ascii="Arial" w:hAnsi="Arial" w:eastAsia="Arial"/>
          <w:b w:val="0"/>
          <w:i/>
          <w:sz w:val="22"/>
        </w:rPr>
        <w:t>"el funcionamiento de los servicios"</w:t>
      </w:r>
      <w:r>
        <w:rPr>
          <w:rFonts w:ascii="Arial" w:hAnsi="Arial" w:eastAsia="Arial"/>
          <w:b w:val="0"/>
          <w:i w:val="0"/>
          <w:sz w:val="22"/>
        </w:rPr>
        <w:t xml:space="preserve">): la autoridad </w:t>
      </w:r>
      <w:r>
        <w:rPr>
          <w:rFonts w:ascii="Arial" w:hAnsi="Arial" w:eastAsia="Arial"/>
          <w:b/>
          <w:i w:val="0"/>
          <w:sz w:val="22"/>
        </w:rPr>
        <w:t>fundó en una hipótesis y motivó con otra</w:t>
      </w:r>
      <w:r>
        <w:rPr>
          <w:rFonts w:ascii="Arial" w:hAnsi="Arial" w:eastAsia="Arial"/>
          <w:b w:val="0"/>
          <w:i w:val="0"/>
          <w:sz w:val="22"/>
        </w:rPr>
        <w:t>, de modo que su acuerdo carece de la debida fundamentación y motivación (art. 16, párr. 1, CPEUM), pues los motivos aducidos no encajan en la norma que dijo aplicar. Y la fracción I era insostenible por sí misma: anunciar de antemano que los plazos se ampliaban y el corte se escalonaba no "compromete" efecto alguno de la medida — al contrario, informa a las personas a las que se dirige.</w:t>
      </w:r>
    </w:p>
    <w:p>
      <w:pPr>
        <w:ind w:left="425"/>
        <w:jc w:val="both"/>
      </w:pPr>
      <w:r>
        <w:rPr>
          <w:rFonts w:ascii="Arial" w:hAnsi="Arial" w:eastAsia="Arial"/>
          <w:b w:val="0"/>
          <w:i w:val="0"/>
          <w:sz w:val="22"/>
        </w:rPr>
        <w:t xml:space="preserve">c) </w:t>
      </w:r>
      <w:r>
        <w:rPr>
          <w:rFonts w:ascii="Arial" w:hAnsi="Arial" w:eastAsia="Arial"/>
          <w:b/>
          <w:i w:val="0"/>
          <w:sz w:val="22"/>
        </w:rPr>
        <w:t>La "emergencia" fue fabricada por la propia autoridad.</w:t>
      </w:r>
      <w:r>
        <w:rPr>
          <w:rFonts w:ascii="Arial" w:hAnsi="Arial" w:eastAsia="Arial"/>
          <w:b w:val="0"/>
          <w:i w:val="0"/>
          <w:sz w:val="22"/>
        </w:rPr>
        <w:t xml:space="preserve"> El riesgo invocado —el corte simultáneo del 30 de junio de 2026— no provino de un hecho externo, súbito o imprevisible: lo fijó la propia Comisión en el Sexto Transitorio de sus Lineamientos desde el </w:t>
      </w:r>
      <w:r>
        <w:rPr>
          <w:rFonts w:ascii="Arial" w:hAnsi="Arial" w:eastAsia="Arial"/>
          <w:b/>
          <w:i w:val="0"/>
          <w:sz w:val="22"/>
        </w:rPr>
        <w:t>9 de diciembre de 2025</w:t>
      </w:r>
      <w:r>
        <w:rPr>
          <w:rFonts w:ascii="Arial" w:hAnsi="Arial" w:eastAsia="Arial"/>
          <w:b w:val="0"/>
          <w:i w:val="0"/>
          <w:sz w:val="22"/>
        </w:rPr>
        <w:t>. Entre esa fecha y la fecha crítica transcurrieron casi siete meses: tiempo de sobra para una consulta ordinaria de veinte días o, siquiera, para la consulta de plazo reducido que sus propias reglas permiten (art. 18). Nadie puede invocar en su favor una urgencia que su propia inacción creó; admitirlo permitiría a cualquier autoridad dispensarse de consultar por el simple expediente de diferir su actuación hasta el último momento.</w:t>
      </w:r>
    </w:p>
    <w:p>
      <w:pPr>
        <w:ind w:left="425"/>
        <w:jc w:val="both"/>
      </w:pPr>
      <w:r>
        <w:rPr>
          <w:rFonts w:ascii="Arial" w:hAnsi="Arial" w:eastAsia="Arial"/>
          <w:b w:val="0"/>
          <w:i w:val="0"/>
          <w:sz w:val="22"/>
        </w:rPr>
        <w:t xml:space="preserve">d) </w:t>
      </w:r>
      <w:r>
        <w:rPr>
          <w:rFonts w:ascii="Arial" w:hAnsi="Arial" w:eastAsia="Arial"/>
          <w:b/>
          <w:i w:val="0"/>
          <w:sz w:val="22"/>
        </w:rPr>
        <w:t>Existía la vía menos gravosa y se descartó sin explicación.</w:t>
      </w:r>
      <w:r>
        <w:rPr>
          <w:rFonts w:ascii="Arial" w:hAnsi="Arial" w:eastAsia="Arial"/>
          <w:b w:val="0"/>
          <w:i w:val="0"/>
          <w:sz w:val="22"/>
        </w:rPr>
        <w:t xml:space="preserve"> Entre la consulta ordinaria y la supresión total existía el medio intermedio del artículo 18 —la consulta de plazo reducido con causa justificada y publicada—, que conciliaba la premura alegada con la participación ciudadana. La Comisión no expresó una sola razón para descartarlo y optó por la vía más drástica; la elección inmotivada de la alternativa más restrictiva de un derecho de participación confirma la ilegalidad de la exención.</w:t>
      </w:r>
    </w:p>
    <w:p>
      <w:pPr>
        <w:ind w:left="425"/>
        <w:jc w:val="both"/>
      </w:pPr>
      <w:r>
        <w:rPr>
          <w:rFonts w:ascii="Arial" w:hAnsi="Arial" w:eastAsia="Arial"/>
          <w:b w:val="0"/>
          <w:i w:val="0"/>
          <w:sz w:val="22"/>
        </w:rPr>
        <w:t xml:space="preserve">e) </w:t>
      </w:r>
      <w:r>
        <w:rPr>
          <w:rFonts w:ascii="Arial" w:hAnsi="Arial" w:eastAsia="Arial"/>
          <w:b/>
          <w:i w:val="0"/>
          <w:sz w:val="22"/>
        </w:rPr>
        <w:t>Efecto de este concepto.</w:t>
      </w:r>
      <w:r>
        <w:rPr>
          <w:rFonts w:ascii="Arial" w:hAnsi="Arial" w:eastAsia="Arial"/>
          <w:b w:val="0"/>
          <w:i w:val="0"/>
          <w:sz w:val="22"/>
        </w:rPr>
        <w:t xml:space="preserve"> El vicio priva de validez a la Modificación por haberse emitido con transgresión del procedimiento legalmente exigido. La protección debe traducirse en que el régimen de deshabilitación calendarizada </w:t>
      </w:r>
      <w:r>
        <w:rPr>
          <w:rFonts w:ascii="Arial" w:hAnsi="Arial" w:eastAsia="Arial"/>
          <w:b/>
          <w:i w:val="0"/>
          <w:sz w:val="22"/>
        </w:rPr>
        <w:t>no se aplique a la persona quejosa</w:t>
      </w:r>
      <w:r>
        <w:rPr>
          <w:rFonts w:ascii="Arial" w:hAnsi="Arial" w:eastAsia="Arial"/>
          <w:b w:val="0"/>
          <w:i w:val="0"/>
          <w:sz w:val="22"/>
        </w:rPr>
        <w:t>, sin que ello implique revivir en su perjuicio el corte simultáneo del Sexto Transitorio de los Lineamientos originales: el amparo debe deparar a quien lo promueve el mayor beneficio posible (arts. 1o. CPEUM y 78 LA), y la porción que agravia es precisamente la consecuencia de deshabilitación, cualquiera que sea su calendario.</w:t>
      </w:r>
    </w:p>
    <w:p>
      <w:pPr>
        <w:pStyle w:val="Heading2"/>
      </w:pPr>
      <w:r>
        <w:rPr>
          <w:rFonts w:ascii="Arial" w:hAnsi="Arial"/>
          <w:b w:val="0"/>
          <w:color w:val="2E74B5"/>
          <w:sz w:val="26"/>
        </w:rPr>
        <w:t>C A P Í T U L O   D E   S U S P E N S I Ó N</w:t>
      </w:r>
    </w:p>
    <w:p>
      <w:pPr>
        <w:jc w:val="both"/>
      </w:pPr>
      <w:r>
        <w:rPr>
          <w:rFonts w:ascii="Arial" w:hAnsi="Arial" w:eastAsia="Arial"/>
          <w:b w:val="0"/>
          <w:i w:val="0"/>
          <w:sz w:val="22"/>
        </w:rPr>
        <w:t xml:space="preserve">Con fundamento en los artículos </w:t>
      </w:r>
      <w:r>
        <w:rPr>
          <w:rFonts w:ascii="Arial" w:hAnsi="Arial" w:eastAsia="Arial"/>
          <w:b/>
          <w:i w:val="0"/>
          <w:sz w:val="22"/>
        </w:rPr>
        <w:t>125, 128, 130, 131, 138, 147, párrafo segundo, 148, párrafo segundo, y 149</w:t>
      </w:r>
      <w:r>
        <w:rPr>
          <w:rFonts w:ascii="Arial" w:hAnsi="Arial" w:eastAsia="Arial"/>
          <w:b w:val="0"/>
          <w:i w:val="0"/>
          <w:sz w:val="22"/>
        </w:rPr>
        <w:t xml:space="preserve"> de la Ley de Amparo, solicito la </w:t>
      </w:r>
      <w:r>
        <w:rPr>
          <w:rFonts w:ascii="Arial" w:hAnsi="Arial" w:eastAsia="Arial"/>
          <w:b/>
          <w:i w:val="0"/>
          <w:sz w:val="22"/>
        </w:rPr>
        <w:t>SUSPENSIÓN PROVISIONAL y, en su oportunidad, la DEFINITIVA</w:t>
      </w:r>
      <w:r>
        <w:rPr>
          <w:rFonts w:ascii="Arial" w:hAnsi="Arial" w:eastAsia="Arial"/>
          <w:b w:val="0"/>
          <w:i w:val="0"/>
          <w:sz w:val="22"/>
        </w:rPr>
        <w:t>, para los efectos siguientes:</w:t>
      </w:r>
    </w:p>
    <w:p>
      <w:pPr>
        <w:jc w:val="both"/>
      </w:pPr>
      <w:r>
        <w:rPr>
          <w:rFonts w:ascii="Arial" w:hAnsi="Arial" w:eastAsia="Arial"/>
          <w:b w:val="0"/>
          <w:i w:val="0"/>
          <w:sz w:val="22"/>
        </w:rPr>
        <w:t xml:space="preserve">1.- Que se </w:t>
      </w:r>
      <w:r>
        <w:rPr>
          <w:rFonts w:ascii="Arial" w:hAnsi="Arial" w:eastAsia="Arial"/>
          <w:b/>
          <w:i w:val="0"/>
          <w:sz w:val="22"/>
        </w:rPr>
        <w:t>paralice, exclusivamente respecto de la línea telefónica móvil número [___] de la que soy titular, la ejecución de la consecuencia prevista en el artículo Trigésimo Transitorio, párrafo segundo, y en los artículos 103 y 164, fracción III, de la LMTR</w:t>
      </w:r>
      <w:r>
        <w:rPr>
          <w:rFonts w:ascii="Arial" w:hAnsi="Arial" w:eastAsia="Arial"/>
          <w:b w:val="0"/>
          <w:i w:val="0"/>
          <w:sz w:val="22"/>
        </w:rPr>
        <w:t xml:space="preserve"> (la suspensión del servicio por falta de vinculación), de modo que «ESCENARIO A» se me </w:t>
      </w:r>
      <w:r>
        <w:rPr>
          <w:rFonts w:ascii="Arial" w:hAnsi="Arial" w:eastAsia="Arial"/>
          <w:b/>
          <w:i w:val="0"/>
          <w:sz w:val="22"/>
        </w:rPr>
        <w:t>rehabilite</w:t>
      </w:r>
      <w:r>
        <w:rPr>
          <w:rFonts w:ascii="Arial" w:hAnsi="Arial" w:eastAsia="Arial"/>
          <w:b w:val="0"/>
          <w:i w:val="0"/>
          <w:sz w:val="22"/>
        </w:rPr>
        <w:t xml:space="preserve"> el servicio con la totalidad de sus prestaciones contratadas (voz, datos y mensajería), «ESCENARIO B» </w:t>
      </w:r>
      <w:r>
        <w:rPr>
          <w:rFonts w:ascii="Arial" w:hAnsi="Arial" w:eastAsia="Arial"/>
          <w:b/>
          <w:i w:val="0"/>
          <w:sz w:val="22"/>
        </w:rPr>
        <w:t>no se deshabilite</w:t>
      </w:r>
      <w:r>
        <w:rPr>
          <w:rFonts w:ascii="Arial" w:hAnsi="Arial" w:eastAsia="Arial"/>
          <w:b w:val="0"/>
          <w:i w:val="0"/>
          <w:sz w:val="22"/>
        </w:rPr>
        <w:t xml:space="preserve"> el servicio, sin condicionarlo a la vinculación, a la entrega de datos ni a la prueba de vida, mientras se resuelve el juicio;</w:t>
      </w:r>
    </w:p>
    <w:p>
      <w:pPr>
        <w:jc w:val="both"/>
      </w:pPr>
      <w:r>
        <w:rPr>
          <w:rFonts w:ascii="Arial" w:hAnsi="Arial" w:eastAsia="Arial"/>
          <w:b w:val="0"/>
          <w:i w:val="0"/>
          <w:sz w:val="22"/>
        </w:rPr>
        <w:t>2.- Que, como mecanismo de cumplimiento (art. 149 LA), la Comisión Reguladora de Telecomunicaciones comunique a [prestadora] la medida y le ordene la inmediata paralización de la ejecución respecto de mi línea, y que [prestadora] la acate de inmediato;</w:t>
      </w:r>
    </w:p>
    <w:p>
      <w:pPr>
        <w:jc w:val="both"/>
      </w:pPr>
      <w:r>
        <w:rPr>
          <w:rFonts w:ascii="Arial" w:hAnsi="Arial" w:eastAsia="Arial"/>
          <w:b w:val="0"/>
          <w:i w:val="0"/>
          <w:sz w:val="22"/>
        </w:rPr>
        <w:t>3.- Que no se dé de baja el número, no se agote su "ciclo de vida", no se reasigne ni se cancele la relación contractual con motivo de la falta de vinculación, ni se me imponga consecuencia alguna por no realizarla, en tanto no cause ejecutoria la sentencia;</w:t>
      </w:r>
    </w:p>
    <w:p>
      <w:pPr>
        <w:jc w:val="both"/>
      </w:pPr>
      <w:r>
        <w:rPr>
          <w:rFonts w:ascii="Arial" w:hAnsi="Arial" w:eastAsia="Arial"/>
          <w:b w:val="0"/>
          <w:i w:val="0"/>
          <w:sz w:val="22"/>
        </w:rPr>
        <w:t xml:space="preserve">4.- Que las cosas se mantengan en el estado que guardan y, de ser jurídica y materialmente posible, se me </w:t>
      </w:r>
      <w:r>
        <w:rPr>
          <w:rFonts w:ascii="Arial" w:hAnsi="Arial" w:eastAsia="Arial"/>
          <w:b/>
          <w:i w:val="0"/>
          <w:sz w:val="22"/>
        </w:rPr>
        <w:t>restablezca provisionalmente</w:t>
      </w:r>
      <w:r>
        <w:rPr>
          <w:rFonts w:ascii="Arial" w:hAnsi="Arial" w:eastAsia="Arial"/>
          <w:b w:val="0"/>
          <w:i w:val="0"/>
          <w:sz w:val="22"/>
        </w:rPr>
        <w:t xml:space="preserve"> en el goce del servicio (art. 147, párr. 2, LA). La medida se pide con </w:t>
      </w:r>
      <w:r>
        <w:rPr>
          <w:rFonts w:ascii="Arial" w:hAnsi="Arial" w:eastAsia="Arial"/>
          <w:b/>
          <w:i w:val="0"/>
          <w:sz w:val="22"/>
        </w:rPr>
        <w:t>efectos estrictamente individuales</w:t>
      </w:r>
      <w:r>
        <w:rPr>
          <w:rFonts w:ascii="Arial" w:hAnsi="Arial" w:eastAsia="Arial"/>
          <w:b w:val="0"/>
          <w:i w:val="0"/>
          <w:sz w:val="22"/>
        </w:rPr>
        <w:t xml:space="preserve"> —una línea, un número, un contrato— y no respecto del sistema de identificación en general (art. 148, último párr., LA).</w:t>
      </w:r>
    </w:p>
    <w:p>
      <w:pPr>
        <w:jc w:val="both"/>
      </w:pPr>
      <w:r>
        <w:rPr>
          <w:rFonts w:ascii="Arial" w:hAnsi="Arial" w:eastAsia="Arial"/>
          <w:b/>
          <w:i w:val="0"/>
          <w:sz w:val="22"/>
        </w:rPr>
        <w:t>Procedencia.</w:t>
      </w:r>
      <w:r>
        <w:rPr>
          <w:rFonts w:ascii="Arial" w:hAnsi="Arial" w:eastAsia="Arial"/>
          <w:b w:val="0"/>
          <w:i w:val="0"/>
          <w:sz w:val="22"/>
        </w:rPr>
        <w:t xml:space="preserve"> Concurren los requisitos del artículo 128 de la Ley de Amparo:</w:t>
      </w:r>
    </w:p>
    <w:p>
      <w:pPr>
        <w:ind w:left="425"/>
        <w:jc w:val="both"/>
      </w:pPr>
      <w:r>
        <w:rPr>
          <w:rFonts w:ascii="Arial" w:hAnsi="Arial" w:eastAsia="Arial"/>
          <w:b/>
          <w:i w:val="0"/>
          <w:sz w:val="22"/>
        </w:rPr>
        <w:t>(I) Existencia del acto.</w:t>
      </w:r>
      <w:r>
        <w:rPr>
          <w:rFonts w:ascii="Arial" w:hAnsi="Arial" w:eastAsia="Arial"/>
          <w:b w:val="0"/>
          <w:i w:val="0"/>
          <w:sz w:val="22"/>
        </w:rPr>
        <w:t xml:space="preserve"> «A» La deshabilitación consta en [prueba] y, además, opera a su favor la </w:t>
      </w:r>
      <w:r>
        <w:rPr>
          <w:rFonts w:ascii="Arial" w:hAnsi="Arial" w:eastAsia="Arial"/>
          <w:b/>
          <w:i w:val="0"/>
          <w:sz w:val="22"/>
        </w:rPr>
        <w:t>presunción razonable de existencia</w:t>
      </w:r>
      <w:r>
        <w:rPr>
          <w:rFonts w:ascii="Arial" w:hAnsi="Arial" w:eastAsia="Arial"/>
          <w:b w:val="0"/>
          <w:i w:val="0"/>
          <w:sz w:val="22"/>
        </w:rPr>
        <w:t xml:space="preserve"> (art. 128, fracc. I, LA), pues es hecho notorio que las líneas no vinculadas se están deshabilitando de manera masiva conforme al calendario publicado en el DOF. «B» Su inminente realización deriva del propio texto de la Modificación (72 horas tras el [fecha]) y de los SMS recibidos.</w:t>
      </w:r>
    </w:p>
    <w:p>
      <w:pPr>
        <w:ind w:left="425"/>
        <w:jc w:val="both"/>
      </w:pPr>
      <w:r>
        <w:rPr>
          <w:rFonts w:ascii="Arial" w:hAnsi="Arial" w:eastAsia="Arial"/>
          <w:b/>
          <w:i w:val="0"/>
          <w:sz w:val="22"/>
        </w:rPr>
        <w:t>(II) Interés suspensional.</w:t>
      </w:r>
      <w:r>
        <w:rPr>
          <w:rFonts w:ascii="Arial" w:hAnsi="Arial" w:eastAsia="Arial"/>
          <w:b w:val="0"/>
          <w:i w:val="0"/>
          <w:sz w:val="22"/>
        </w:rPr>
        <w:t xml:space="preserve"> Soy titular de la línea; el principio de agravio es directo (arts. 5o., fracc. I, y 128, fracc. II, LA). Basta la acreditación indiciaria (tesis </w:t>
      </w:r>
      <w:r>
        <w:rPr>
          <w:rFonts w:ascii="Arial" w:hAnsi="Arial" w:eastAsia="Arial"/>
          <w:b/>
          <w:i w:val="0"/>
          <w:sz w:val="22"/>
        </w:rPr>
        <w:t>XVII.2o.P.A.35 A (11a.)</w:t>
      </w:r>
      <w:r>
        <w:rPr>
          <w:rFonts w:ascii="Arial" w:hAnsi="Arial" w:eastAsia="Arial"/>
          <w:b w:val="0"/>
          <w:i w:val="0"/>
          <w:sz w:val="22"/>
        </w:rPr>
        <w:t xml:space="preserve">, registro </w:t>
      </w:r>
      <w:r>
        <w:rPr>
          <w:rFonts w:ascii="Arial" w:hAnsi="Arial" w:eastAsia="Arial"/>
          <w:b/>
          <w:i w:val="0"/>
          <w:sz w:val="22"/>
        </w:rPr>
        <w:t>2029277</w:t>
      </w:r>
      <w:r>
        <w:rPr>
          <w:rFonts w:ascii="Arial" w:hAnsi="Arial" w:eastAsia="Arial"/>
          <w:b w:val="0"/>
          <w:i w:val="0"/>
          <w:sz w:val="22"/>
        </w:rPr>
        <w:t>).</w:t>
      </w:r>
    </w:p>
    <w:p>
      <w:pPr>
        <w:ind w:left="425"/>
        <w:jc w:val="both"/>
      </w:pPr>
      <w:r>
        <w:rPr>
          <w:rFonts w:ascii="Arial" w:hAnsi="Arial" w:eastAsia="Arial"/>
          <w:b/>
          <w:i w:val="0"/>
          <w:sz w:val="22"/>
        </w:rPr>
        <w:t>(III) Interés social y orden público.</w:t>
      </w:r>
      <w:r>
        <w:rPr>
          <w:rFonts w:ascii="Arial" w:hAnsi="Arial" w:eastAsia="Arial"/>
          <w:b w:val="0"/>
          <w:i w:val="0"/>
          <w:sz w:val="22"/>
        </w:rPr>
        <w:t xml:space="preserve"> Conceder la medida </w:t>
      </w:r>
      <w:r>
        <w:rPr>
          <w:rFonts w:ascii="Arial" w:hAnsi="Arial" w:eastAsia="Arial"/>
          <w:b/>
          <w:i w:val="0"/>
          <w:sz w:val="22"/>
        </w:rPr>
        <w:t>no causa daño significativo a la colectividad ni la priva de beneficio alguno</w:t>
      </w:r>
      <w:r>
        <w:rPr>
          <w:rFonts w:ascii="Arial" w:hAnsi="Arial" w:eastAsia="Arial"/>
          <w:b w:val="0"/>
          <w:i w:val="0"/>
          <w:sz w:val="22"/>
        </w:rPr>
        <w:t xml:space="preserve">: (a) el Estado conserva íntegras sus herramientas de investigación —localización geográfica, datos conservados con nombre y domicilio del suscriptor, intervención de comunicaciones— (arts. 182 y 183 LMTR; 303 CNPP), que la Suprema Corte tuvo por igualmente idóneas y menos lesivas; (b) el efecto es </w:t>
      </w:r>
      <w:r>
        <w:rPr>
          <w:rFonts w:ascii="Arial" w:hAnsi="Arial" w:eastAsia="Arial"/>
          <w:b/>
          <w:i w:val="0"/>
          <w:sz w:val="22"/>
        </w:rPr>
        <w:t>estrictamente individual</w:t>
      </w:r>
      <w:r>
        <w:rPr>
          <w:rFonts w:ascii="Arial" w:hAnsi="Arial" w:eastAsia="Arial"/>
          <w:b w:val="0"/>
          <w:i w:val="0"/>
          <w:sz w:val="22"/>
        </w:rPr>
        <w:t xml:space="preserve"> —una sola línea— y no general (art. 148, último párr., LA); (c) mi línea no es instrumento de delito, por lo que no se actualiza el artículo 129, fracción III; y (d) el interés social se identifica también con la protección de la privacidad y de la soberanía digital personal, como lo han reconocido los Tribunales Colegiados al conceder la suspensión contra la CURP biométrica: </w:t>
      </w:r>
      <w:r>
        <w:rPr>
          <w:rFonts w:ascii="Arial" w:hAnsi="Arial" w:eastAsia="Arial"/>
          <w:b w:val="0"/>
          <w:i/>
          <w:sz w:val="22"/>
        </w:rPr>
        <w:t>"es posible identificar un punto de equilibrio óptimo entre conservar la capacidad del gobierno […] y evitar una afectación desproporcionada o irreversible"</w:t>
      </w:r>
      <w:r>
        <w:rPr>
          <w:rFonts w:ascii="Arial" w:hAnsi="Arial" w:eastAsia="Arial"/>
          <w:b w:val="0"/>
          <w:i w:val="0"/>
          <w:sz w:val="22"/>
        </w:rPr>
        <w:t xml:space="preserve"> (tesis </w:t>
      </w:r>
      <w:r>
        <w:rPr>
          <w:rFonts w:ascii="Arial" w:hAnsi="Arial" w:eastAsia="Arial"/>
          <w:b/>
          <w:i w:val="0"/>
          <w:sz w:val="22"/>
        </w:rPr>
        <w:t>I.20o.A.57 A (12a.)</w:t>
      </w:r>
      <w:r>
        <w:rPr>
          <w:rFonts w:ascii="Arial" w:hAnsi="Arial" w:eastAsia="Arial"/>
          <w:b w:val="0"/>
          <w:i w:val="0"/>
          <w:sz w:val="22"/>
        </w:rPr>
        <w:t xml:space="preserve">, registro </w:t>
      </w:r>
      <w:r>
        <w:rPr>
          <w:rFonts w:ascii="Arial" w:hAnsi="Arial" w:eastAsia="Arial"/>
          <w:b/>
          <w:i w:val="0"/>
          <w:sz w:val="22"/>
        </w:rPr>
        <w:t>2032355</w:t>
      </w:r>
      <w:r>
        <w:rPr>
          <w:rFonts w:ascii="Arial" w:hAnsi="Arial" w:eastAsia="Arial"/>
          <w:b w:val="0"/>
          <w:i w:val="0"/>
          <w:sz w:val="22"/>
        </w:rPr>
        <w:t xml:space="preserve">; en el mismo sentido registros </w:t>
      </w:r>
      <w:r>
        <w:rPr>
          <w:rFonts w:ascii="Arial" w:hAnsi="Arial" w:eastAsia="Arial"/>
          <w:b/>
          <w:i w:val="0"/>
          <w:sz w:val="22"/>
        </w:rPr>
        <w:t>2032354</w:t>
      </w:r>
      <w:r>
        <w:rPr>
          <w:rFonts w:ascii="Arial" w:hAnsi="Arial" w:eastAsia="Arial"/>
          <w:b w:val="0"/>
          <w:i w:val="0"/>
          <w:sz w:val="22"/>
        </w:rPr>
        <w:t xml:space="preserve"> y </w:t>
      </w:r>
      <w:r>
        <w:rPr>
          <w:rFonts w:ascii="Arial" w:hAnsi="Arial" w:eastAsia="Arial"/>
          <w:b/>
          <w:i w:val="0"/>
          <w:sz w:val="22"/>
        </w:rPr>
        <w:t>2031770</w:t>
      </w:r>
      <w:r>
        <w:rPr>
          <w:rFonts w:ascii="Arial" w:hAnsi="Arial" w:eastAsia="Arial"/>
          <w:b w:val="0"/>
          <w:i w:val="0"/>
          <w:sz w:val="22"/>
        </w:rPr>
        <w:t>).</w:t>
      </w:r>
    </w:p>
    <w:p>
      <w:pPr>
        <w:jc w:val="both"/>
      </w:pPr>
      <w:r>
        <w:rPr>
          <w:rFonts w:ascii="Arial" w:hAnsi="Arial" w:eastAsia="Arial"/>
          <w:b/>
          <w:i w:val="0"/>
          <w:sz w:val="22"/>
        </w:rPr>
        <w:t>El interés social no se sirve con la desconexión: la eficacia de la medida no puede presumirse.</w:t>
      </w:r>
      <w:r>
        <w:rPr>
          <w:rFonts w:ascii="Arial" w:hAnsi="Arial" w:eastAsia="Arial"/>
          <w:b w:val="0"/>
          <w:i w:val="0"/>
          <w:sz w:val="22"/>
        </w:rPr>
        <w:t xml:space="preserve"> No puede presumirse un daño significativo a la colectividad por el hecho de que una línea permanezca activa, porque la premisa de que desconectar a quien no se registró abona a la seguridad pública descansa en un supuesto que la propia Suprema Corte calificó de falso —que quien delinque usa líneas a su nombre— y la eficacia de la deshabilitación como instrumento de seguridad no está demostrada:</w:t>
      </w:r>
    </w:p>
    <w:p>
      <w:pPr>
        <w:ind w:left="425"/>
        <w:jc w:val="both"/>
      </w:pPr>
      <w:r>
        <w:rPr>
          <w:rFonts w:ascii="Arial" w:hAnsi="Arial" w:eastAsia="Arial"/>
          <w:b w:val="0"/>
          <w:i w:val="0"/>
          <w:sz w:val="22"/>
        </w:rPr>
        <w:t xml:space="preserve">a) La Suprema Corte ya lo juzgó. Al invalidar el PANAUT, el Pleno hizo suyas las razones por las que el Congreso derogó el RENAUT —un registro ligado también a la CURP—: </w:t>
      </w:r>
      <w:r>
        <w:rPr>
          <w:rFonts w:ascii="Arial" w:hAnsi="Arial" w:eastAsia="Arial"/>
          <w:b w:val="0"/>
          <w:i/>
          <w:sz w:val="22"/>
        </w:rPr>
        <w:t>"cualquier delincuente puede hacer uso de un teléfono comprado en el extranjero con el servicio de 'roaming', realizar una llamada con enlace de un equipo de cómputo o comprar un chip en menos de 70 pesos en el mercado informal, ya sea robado o inscrito de forma fraudulenta"</w:t>
      </w:r>
      <w:r>
        <w:rPr>
          <w:rFonts w:ascii="Arial" w:hAnsi="Arial" w:eastAsia="Arial"/>
          <w:b w:val="0"/>
          <w:i w:val="0"/>
          <w:sz w:val="22"/>
        </w:rPr>
        <w:t xml:space="preserve"> (AI 82/2021, párr. 300), y concluyó que </w:t>
      </w:r>
      <w:r>
        <w:rPr>
          <w:rFonts w:ascii="Arial" w:hAnsi="Arial" w:eastAsia="Arial"/>
          <w:b/>
          <w:i w:val="0"/>
          <w:color w:val="EE0000"/>
          <w:sz w:val="22"/>
        </w:rPr>
        <w:t>*"no es posible sostener que la creación de este tipo de padrones garantice que efectivamente se vaya a identificar a los responsables de los delitos"* y que *"incluso pueden facilitar la comisión misma de los delitos que pretende combatir"*</w:t>
      </w:r>
      <w:r>
        <w:rPr>
          <w:rFonts w:ascii="Arial" w:hAnsi="Arial" w:eastAsia="Arial"/>
          <w:b w:val="0"/>
          <w:i w:val="0"/>
          <w:sz w:val="22"/>
        </w:rPr>
        <w:t xml:space="preserve"> (párr. 301). En sus votos concurrentes, el Ministro Presidente Zaldívar subrayó que </w:t>
      </w:r>
      <w:r>
        <w:rPr>
          <w:rFonts w:ascii="Arial" w:hAnsi="Arial" w:eastAsia="Arial"/>
          <w:b w:val="0"/>
          <w:i/>
          <w:sz w:val="22"/>
        </w:rPr>
        <w:t>"las extorsiones nunca se realizan a partir de los teléfonos que tiene a su nombre el extorsionador"</w:t>
      </w:r>
      <w:r>
        <w:rPr>
          <w:rFonts w:ascii="Arial" w:hAnsi="Arial" w:eastAsia="Arial"/>
          <w:b w:val="0"/>
          <w:i w:val="0"/>
          <w:sz w:val="22"/>
        </w:rPr>
        <w:t xml:space="preserve">, y el Ministro González Alcántara que el registro </w:t>
      </w:r>
      <w:r>
        <w:rPr>
          <w:rFonts w:ascii="Arial" w:hAnsi="Arial" w:eastAsia="Arial"/>
          <w:b w:val="0"/>
          <w:i/>
          <w:sz w:val="22"/>
        </w:rPr>
        <w:t>"parte de una falsa premisa: que las personas cometiendo los delitos utilizan celulares registrados a su nombre o a nombre de sus cómplices"</w:t>
      </w:r>
      <w:r>
        <w:rPr>
          <w:rFonts w:ascii="Arial" w:hAnsi="Arial" w:eastAsia="Arial"/>
          <w:b w:val="0"/>
          <w:i w:val="0"/>
          <w:sz w:val="22"/>
        </w:rPr>
        <w:t xml:space="preserve">. El Pleno recordó además que el Relator Especial de la ONU para la libertad de expresión ha señalado que </w:t>
      </w:r>
      <w:r>
        <w:rPr>
          <w:rFonts w:ascii="Arial" w:hAnsi="Arial" w:eastAsia="Arial"/>
          <w:b w:val="0"/>
          <w:i/>
          <w:sz w:val="22"/>
        </w:rPr>
        <w:t>"los Estados deben abstenerse […] de obligar a los usuarios de teléfonos móviles a registrar su tarjeta SIM"</w:t>
      </w:r>
      <w:r>
        <w:rPr>
          <w:rFonts w:ascii="Arial" w:hAnsi="Arial" w:eastAsia="Arial"/>
          <w:b w:val="0"/>
          <w:i w:val="0"/>
          <w:sz w:val="22"/>
        </w:rPr>
        <w:t xml:space="preserve"> (párr. 207).</w:t>
      </w:r>
    </w:p>
    <w:p>
      <w:pPr>
        <w:ind w:left="425"/>
        <w:jc w:val="both"/>
      </w:pPr>
      <w:r>
        <w:rPr>
          <w:rFonts w:ascii="Arial" w:hAnsi="Arial" w:eastAsia="Arial"/>
          <w:b w:val="0"/>
          <w:i w:val="0"/>
          <w:sz w:val="22"/>
        </w:rPr>
        <w:t xml:space="preserve">b) Los hechos de 2026 confirman la premisa falsa y el </w:t>
      </w:r>
      <w:r>
        <w:rPr>
          <w:rFonts w:ascii="Arial" w:hAnsi="Arial" w:eastAsia="Arial"/>
          <w:b/>
          <w:i w:val="0"/>
          <w:sz w:val="22"/>
        </w:rPr>
        <w:t>desplazamiento</w:t>
      </w:r>
      <w:r>
        <w:rPr>
          <w:rFonts w:ascii="Arial" w:hAnsi="Arial" w:eastAsia="Arial"/>
          <w:b w:val="0"/>
          <w:i w:val="0"/>
          <w:sz w:val="22"/>
        </w:rPr>
        <w:t xml:space="preserve"> del delito hacia la suplantación de identidad. Es público y notorio que, a los pocos días de iniciado el registro, apareció un mercado de </w:t>
      </w:r>
      <w:r>
        <w:rPr>
          <w:rFonts w:ascii="Arial" w:hAnsi="Arial" w:eastAsia="Arial"/>
          <w:b/>
          <w:i w:val="0"/>
          <w:sz w:val="22"/>
        </w:rPr>
        <w:t>chips ya vinculados a nombre de terceros</w:t>
      </w:r>
      <w:r>
        <w:rPr>
          <w:rFonts w:ascii="Arial" w:hAnsi="Arial" w:eastAsia="Arial"/>
          <w:b w:val="0"/>
          <w:i w:val="0"/>
          <w:sz w:val="22"/>
        </w:rPr>
        <w:t xml:space="preserve">: se han documentado ventas por 27 pesos en redes sociales (El Universal, 20 de enero de 2026, con especialistas del Instituto del Derecho de las Telecomunicaciones que advirtieron un </w:t>
      </w:r>
      <w:r>
        <w:rPr>
          <w:rFonts w:ascii="Arial" w:hAnsi="Arial" w:eastAsia="Arial"/>
          <w:b w:val="0"/>
          <w:i/>
          <w:sz w:val="22"/>
        </w:rPr>
        <w:t>"nuevo mercado criminal"</w:t>
      </w:r>
      <w:r>
        <w:rPr>
          <w:rFonts w:ascii="Arial" w:hAnsi="Arial" w:eastAsia="Arial"/>
          <w:b w:val="0"/>
          <w:i w:val="0"/>
          <w:sz w:val="22"/>
        </w:rPr>
        <w:t xml:space="preserve"> de robo de identidad que puede llevar </w:t>
      </w:r>
      <w:r>
        <w:rPr>
          <w:rFonts w:ascii="Arial" w:hAnsi="Arial" w:eastAsia="Arial"/>
          <w:b w:val="0"/>
          <w:i/>
          <w:sz w:val="22"/>
        </w:rPr>
        <w:t>"a la cárcel a inocentes"</w:t>
      </w:r>
      <w:r>
        <w:rPr>
          <w:rFonts w:ascii="Arial" w:hAnsi="Arial" w:eastAsia="Arial"/>
          <w:b w:val="0"/>
          <w:i w:val="0"/>
          <w:sz w:val="22"/>
        </w:rPr>
        <w:t xml:space="preserve">) y por 200 pesos en el Centro Histórico de la Ciudad de México, sin pedir identificación ni CURP al comprador (investigación de Milenio, 31 de mayo de 2026). Y a siete meses de arrancado el registro (9 de enero de 2026), la extorsión —el delito que la medida dice combatir— alcanzó en el primer semestre de 2026 </w:t>
      </w:r>
      <w:r>
        <w:rPr>
          <w:rFonts w:ascii="Arial" w:hAnsi="Arial" w:eastAsia="Arial"/>
          <w:b/>
          <w:i w:val="0"/>
          <w:sz w:val="22"/>
        </w:rPr>
        <w:t>su nivel más alto en once años</w:t>
      </w:r>
      <w:r>
        <w:rPr>
          <w:rFonts w:ascii="Arial" w:hAnsi="Arial" w:eastAsia="Arial"/>
          <w:b w:val="0"/>
          <w:i w:val="0"/>
          <w:sz w:val="22"/>
        </w:rPr>
        <w:t>: 6,562 víctimas, 9.17 % más que en el mismo periodo de 2025, el único delito de alto impacto que creció, con doce entidades en máximo histórico y una cifra negra del 97 % (datos del Secretariado Ejecutivo del Sistema Nacional de Seguridad Pública y del INEGI, difundidos por Coparmex el 16 de agosto de 2026). El registro no detuvo la extorsión; desconectar mi línea tampoco la detendrá.</w:t>
      </w:r>
    </w:p>
    <w:p>
      <w:pPr>
        <w:ind w:left="425"/>
        <w:jc w:val="both"/>
      </w:pPr>
      <w:r>
        <w:rPr>
          <w:rFonts w:ascii="Arial" w:hAnsi="Arial" w:eastAsia="Arial"/>
          <w:b w:val="0"/>
          <w:i w:val="0"/>
          <w:sz w:val="22"/>
        </w:rPr>
        <w:t xml:space="preserve">c) El propio sistema reclamado deja abiertas las puertas que dice cerrar: habilita líneas </w:t>
      </w:r>
      <w:r>
        <w:rPr>
          <w:rFonts w:ascii="Arial" w:hAnsi="Arial" w:eastAsia="Arial"/>
          <w:b/>
          <w:i w:val="0"/>
          <w:sz w:val="22"/>
        </w:rPr>
        <w:t>sin vinculación</w:t>
      </w:r>
      <w:r>
        <w:rPr>
          <w:rFonts w:ascii="Arial" w:hAnsi="Arial" w:eastAsia="Arial"/>
          <w:b w:val="0"/>
          <w:i w:val="0"/>
          <w:sz w:val="22"/>
        </w:rPr>
        <w:t xml:space="preserve"> en emergencias (art. 11 de los Lineamientos), deja fuera a las líneas en </w:t>
      </w:r>
      <w:r>
        <w:rPr>
          <w:rFonts w:ascii="Arial" w:hAnsi="Arial" w:eastAsia="Arial"/>
          <w:b/>
          <w:i w:val="0"/>
          <w:sz w:val="22"/>
        </w:rPr>
        <w:t>roaming internacional</w:t>
      </w:r>
      <w:r>
        <w:rPr>
          <w:rFonts w:ascii="Arial" w:hAnsi="Arial" w:eastAsia="Arial"/>
          <w:b w:val="0"/>
          <w:i w:val="0"/>
          <w:sz w:val="22"/>
        </w:rPr>
        <w:t xml:space="preserve"> hasta que la Comisión decida algo después de la Copa Mundial (Noveno Transitorio), permite a personas extranjeras identificarse </w:t>
      </w:r>
      <w:r>
        <w:rPr>
          <w:rFonts w:ascii="Arial" w:hAnsi="Arial" w:eastAsia="Arial"/>
          <w:b/>
          <w:i w:val="0"/>
          <w:sz w:val="22"/>
        </w:rPr>
        <w:t>sin CURP</w:t>
      </w:r>
      <w:r>
        <w:rPr>
          <w:rFonts w:ascii="Arial" w:hAnsi="Arial" w:eastAsia="Arial"/>
          <w:b w:val="0"/>
          <w:i w:val="0"/>
          <w:sz w:val="22"/>
        </w:rPr>
        <w:t xml:space="preserve"> (art. 20), no alcanza a las llamadas por internet ni a las aplicaciones de mensajería, y nada puede contra la extorsión que se comete </w:t>
      </w:r>
      <w:r>
        <w:rPr>
          <w:rFonts w:ascii="Arial" w:hAnsi="Arial" w:eastAsia="Arial"/>
          <w:b/>
          <w:i w:val="0"/>
          <w:sz w:val="22"/>
        </w:rPr>
        <w:t>desde los centros penitenciarios</w:t>
      </w:r>
      <w:r>
        <w:rPr>
          <w:rFonts w:ascii="Arial" w:hAnsi="Arial" w:eastAsia="Arial"/>
          <w:b w:val="0"/>
          <w:i w:val="0"/>
          <w:sz w:val="22"/>
        </w:rPr>
        <w:t>, fenómeno que el propio regulador reconoció al emitir los lineamientos de inhibidores de señal (AI 82/2021, párrs. 377-378). Quien quiere delinquir tiene todas esas vías; quien las pierde es la persona que simplemente no quiso entregar sus datos.</w:t>
      </w:r>
    </w:p>
    <w:p>
      <w:pPr>
        <w:ind w:left="425"/>
        <w:jc w:val="both"/>
      </w:pPr>
      <w:r>
        <w:rPr>
          <w:rFonts w:ascii="Arial" w:hAnsi="Arial" w:eastAsia="Arial"/>
          <w:b w:val="0"/>
          <w:i w:val="0"/>
          <w:sz w:val="22"/>
        </w:rPr>
        <w:t xml:space="preserve">d) La propia autoridad no ve urgencia. La Comisión pospuso la deshabilitación que originalmente vencía el 30 de junio de 2026 y la escalonó hasta el 31 de diciembre, dígito por dígito, para </w:t>
      </w:r>
      <w:r>
        <w:rPr>
          <w:rFonts w:ascii="Arial" w:hAnsi="Arial" w:eastAsia="Arial"/>
          <w:b w:val="0"/>
          <w:i/>
          <w:sz w:val="22"/>
        </w:rPr>
        <w:t>"evitar un potencial impacto adverso en la operatividad de las redes"</w:t>
      </w:r>
      <w:r>
        <w:rPr>
          <w:rFonts w:ascii="Arial" w:hAnsi="Arial" w:eastAsia="Arial"/>
          <w:b w:val="0"/>
          <w:i w:val="0"/>
          <w:sz w:val="22"/>
        </w:rPr>
        <w:t xml:space="preserve"> (Modificación, considerandos): si el Estado puede esperar seis meses para desconectar a millones de líneas por razones de tráfico de red, la sociedad no resiente daño alguno porque </w:t>
      </w:r>
      <w:r>
        <w:rPr>
          <w:rFonts w:ascii="Arial" w:hAnsi="Arial" w:eastAsia="Arial"/>
          <w:b/>
          <w:i w:val="0"/>
          <w:sz w:val="22"/>
        </w:rPr>
        <w:t>una sola línea</w:t>
      </w:r>
      <w:r>
        <w:rPr>
          <w:rFonts w:ascii="Arial" w:hAnsi="Arial" w:eastAsia="Arial"/>
          <w:b w:val="0"/>
          <w:i w:val="0"/>
          <w:sz w:val="22"/>
        </w:rPr>
        <w:t xml:space="preserve"> siga activa mientras se resuelve este juicio.</w:t>
      </w:r>
    </w:p>
    <w:p>
      <w:pPr>
        <w:ind w:left="425"/>
        <w:jc w:val="both"/>
      </w:pPr>
      <w:r>
        <w:rPr>
          <w:rFonts w:ascii="Arial" w:hAnsi="Arial" w:eastAsia="Arial"/>
          <w:b w:val="0"/>
          <w:i w:val="0"/>
          <w:sz w:val="22"/>
        </w:rPr>
        <w:t xml:space="preserve">f) </w:t>
      </w:r>
      <w:r>
        <w:rPr>
          <w:rFonts w:ascii="Arial" w:hAnsi="Arial" w:eastAsia="Arial"/>
          <w:b/>
          <w:i w:val="0"/>
          <w:sz w:val="22"/>
        </w:rPr>
        <w:t>La experiencia internacional apunta en el mismo sentido.</w:t>
      </w:r>
      <w:r>
        <w:rPr>
          <w:rFonts w:ascii="Arial" w:hAnsi="Arial" w:eastAsia="Arial"/>
          <w:b w:val="0"/>
          <w:i w:val="0"/>
          <w:sz w:val="22"/>
        </w:rPr>
        <w:t xml:space="preserve"> La GSMA —asociación mundial de los operadores móviles— concluyó en 2013 que </w:t>
      </w:r>
      <w:r>
        <w:rPr>
          <w:rFonts w:ascii="Arial" w:hAnsi="Arial" w:eastAsia="Arial"/>
          <w:b w:val="0"/>
          <w:i/>
          <w:sz w:val="22"/>
        </w:rPr>
        <w:t>"a la fecha no existe evidencia empírica que indique que obligar al registro de usuarios de prepago conduzca a una reducción de las actividades delictivas"</w:t>
      </w:r>
      <w:r>
        <w:rPr>
          <w:rFonts w:ascii="Arial" w:hAnsi="Arial" w:eastAsia="Arial"/>
          <w:b w:val="0"/>
          <w:i w:val="0"/>
          <w:sz w:val="22"/>
        </w:rPr>
        <w:t xml:space="preserve">, y documentó como consecuencias la aparición de </w:t>
      </w:r>
      <w:r>
        <w:rPr>
          <w:rFonts w:ascii="Arial" w:hAnsi="Arial" w:eastAsia="Arial"/>
          <w:b/>
          <w:i w:val="0"/>
          <w:sz w:val="22"/>
        </w:rPr>
        <w:t>mercados negros de SIM robadas o registradas fraudulentamente</w:t>
      </w:r>
      <w:r>
        <w:rPr>
          <w:rFonts w:ascii="Arial" w:hAnsi="Arial" w:eastAsia="Arial"/>
          <w:b w:val="0"/>
          <w:i w:val="0"/>
          <w:sz w:val="22"/>
        </w:rPr>
        <w:t xml:space="preserve"> —las "tarjetas pirata", como se les llamó en México— y el </w:t>
      </w:r>
      <w:r>
        <w:rPr>
          <w:rFonts w:ascii="Arial" w:hAnsi="Arial" w:eastAsia="Arial"/>
          <w:b/>
          <w:i w:val="0"/>
          <w:sz w:val="22"/>
        </w:rPr>
        <w:t>fraude de identidad</w:t>
      </w:r>
      <w:r>
        <w:rPr>
          <w:rFonts w:ascii="Arial" w:hAnsi="Arial" w:eastAsia="Arial"/>
          <w:b w:val="0"/>
          <w:i w:val="0"/>
          <w:sz w:val="22"/>
        </w:rPr>
        <w:t xml:space="preserve">, que puede llevar a que </w:t>
      </w:r>
      <w:r>
        <w:rPr>
          <w:rFonts w:ascii="Arial" w:hAnsi="Arial" w:eastAsia="Arial"/>
          <w:b w:val="0"/>
          <w:i/>
          <w:sz w:val="22"/>
        </w:rPr>
        <w:t>"ciudadanos inocentes sean implicados y acusados"</w:t>
      </w:r>
      <w:r>
        <w:rPr>
          <w:rFonts w:ascii="Arial" w:hAnsi="Arial" w:eastAsia="Arial"/>
          <w:b w:val="0"/>
          <w:i w:val="0"/>
          <w:sz w:val="22"/>
        </w:rPr>
        <w:t xml:space="preserve"> de un delito; en 2016 reiteró que </w:t>
      </w:r>
      <w:r>
        <w:rPr>
          <w:rFonts w:ascii="Arial" w:hAnsi="Arial" w:eastAsia="Arial"/>
          <w:b w:val="0"/>
          <w:i/>
          <w:sz w:val="22"/>
        </w:rPr>
        <w:t>"no ha habido evidencia empírica de que el registro obligatorio de SIM conduzca directamente a una reducción del delito"</w:t>
      </w:r>
      <w:r>
        <w:rPr>
          <w:rFonts w:ascii="Arial" w:hAnsi="Arial" w:eastAsia="Arial"/>
          <w:b w:val="0"/>
          <w:i w:val="0"/>
          <w:sz w:val="22"/>
        </w:rPr>
        <w:t xml:space="preserve"> y destacó que mercados con serias amenazas de seguridad, como </w:t>
      </w:r>
      <w:r>
        <w:rPr>
          <w:rFonts w:ascii="Arial" w:hAnsi="Arial" w:eastAsia="Arial"/>
          <w:b/>
          <w:i w:val="0"/>
          <w:sz w:val="22"/>
        </w:rPr>
        <w:t>Estados Unidos y el Reino Unido</w:t>
      </w:r>
      <w:r>
        <w:rPr>
          <w:rFonts w:ascii="Arial" w:hAnsi="Arial" w:eastAsia="Arial"/>
          <w:b w:val="0"/>
          <w:i w:val="0"/>
          <w:sz w:val="22"/>
        </w:rPr>
        <w:t xml:space="preserve">, optaron por no imponerlo (GSMA, </w:t>
      </w:r>
      <w:r>
        <w:rPr>
          <w:rFonts w:ascii="Arial" w:hAnsi="Arial" w:eastAsia="Arial"/>
          <w:b w:val="0"/>
          <w:i/>
          <w:sz w:val="22"/>
        </w:rPr>
        <w:t>The Mandatory Registration of Prepaid SIM Card Users</w:t>
      </w:r>
      <w:r>
        <w:rPr>
          <w:rFonts w:ascii="Arial" w:hAnsi="Arial" w:eastAsia="Arial"/>
          <w:b w:val="0"/>
          <w:i w:val="0"/>
          <w:sz w:val="22"/>
        </w:rPr>
        <w:t xml:space="preserve">, noviembre de 2013; GSMA, </w:t>
      </w:r>
      <w:r>
        <w:rPr>
          <w:rFonts w:ascii="Arial" w:hAnsi="Arial" w:eastAsia="Arial"/>
          <w:b w:val="0"/>
          <w:i/>
          <w:sz w:val="22"/>
        </w:rPr>
        <w:t>Mandatory registration of prepaid SIM cards</w:t>
      </w:r>
      <w:r>
        <w:rPr>
          <w:rFonts w:ascii="Arial" w:hAnsi="Arial" w:eastAsia="Arial"/>
          <w:b w:val="0"/>
          <w:i w:val="0"/>
          <w:sz w:val="22"/>
        </w:rPr>
        <w:t xml:space="preserve">, abril de 2016). Gobiernos como los de </w:t>
      </w:r>
      <w:r>
        <w:rPr>
          <w:rFonts w:ascii="Arial" w:hAnsi="Arial" w:eastAsia="Arial"/>
          <w:b/>
          <w:i w:val="0"/>
          <w:sz w:val="22"/>
        </w:rPr>
        <w:t>Reino Unido, Canadá, República Checa, Rumania y Nueva Zelanda</w:t>
      </w:r>
      <w:r>
        <w:rPr>
          <w:rFonts w:ascii="Arial" w:hAnsi="Arial" w:eastAsia="Arial"/>
          <w:b w:val="0"/>
          <w:i w:val="0"/>
          <w:sz w:val="22"/>
        </w:rPr>
        <w:t xml:space="preserve"> estudiaron la medida y la </w:t>
      </w:r>
      <w:r>
        <w:rPr>
          <w:rFonts w:ascii="Arial" w:hAnsi="Arial" w:eastAsia="Arial"/>
          <w:b/>
          <w:i w:val="0"/>
          <w:sz w:val="22"/>
        </w:rPr>
        <w:t>descartaron</w:t>
      </w:r>
      <w:r>
        <w:rPr>
          <w:rFonts w:ascii="Arial" w:hAnsi="Arial" w:eastAsia="Arial"/>
          <w:b w:val="0"/>
          <w:i w:val="0"/>
          <w:sz w:val="22"/>
        </w:rPr>
        <w:t xml:space="preserve">; en el Reino Unido, un grupo de expertos de policía, inteligencia y operadores, convocado tras los atentados de Londres de 2005, concluyó que </w:t>
      </w:r>
      <w:r>
        <w:rPr>
          <w:rFonts w:ascii="Arial" w:hAnsi="Arial" w:eastAsia="Arial"/>
          <w:b w:val="0"/>
          <w:i/>
          <w:sz w:val="22"/>
        </w:rPr>
        <w:t>"el registro obligatorio de la titularidad de los teléfonos móviles no aportaría ningún beneficio nuevo significativo al proceso de investigación"</w:t>
      </w:r>
      <w:r>
        <w:rPr>
          <w:rFonts w:ascii="Arial" w:hAnsi="Arial" w:eastAsia="Arial"/>
          <w:b w:val="0"/>
          <w:i w:val="0"/>
          <w:sz w:val="22"/>
        </w:rPr>
        <w:t xml:space="preserve"> (GSMA 2013, con cita de la respuesta parlamentaria de Lord West of Spithead, 16 de julio de 2007). </w:t>
      </w:r>
      <w:r>
        <w:rPr>
          <w:rFonts w:ascii="Arial" w:hAnsi="Arial" w:eastAsia="Arial"/>
          <w:b/>
          <w:i w:val="0"/>
          <w:color w:val="EE0000"/>
          <w:sz w:val="22"/>
        </w:rPr>
        <w:t xml:space="preserve">Y los casos más cercanos son contundentes. </w:t>
      </w:r>
      <w:r>
        <w:rPr>
          <w:rFonts w:ascii="Arial" w:hAnsi="Arial" w:eastAsia="Arial"/>
          <w:b/>
          <w:i w:val="0"/>
          <w:color w:val="EE0000"/>
          <w:sz w:val="22"/>
        </w:rPr>
        <w:t>Ecuador</w:t>
      </w:r>
      <w:r>
        <w:rPr>
          <w:rFonts w:ascii="Arial" w:hAnsi="Arial" w:eastAsia="Arial"/>
          <w:b/>
          <w:i w:val="0"/>
          <w:color w:val="EE0000"/>
          <w:sz w:val="22"/>
        </w:rPr>
        <w:t xml:space="preserve"> obliga desde 2012 a empadronar toda línea móvil con la cédula de identidad validada contra el Registro Civil, *"bajo pena de suspensión del servicio"* —exactamente la misma sanción que aquí se reclama— (Norma de empadronamiento de abonados del SMA, Resolución TEL-535-18-CONATEL, R.O. 781 de 2012, y Resolución ARCOTEL-2018-0716), y sus denuncias por extorsión pasaron de </w:t>
      </w:r>
      <w:r>
        <w:rPr>
          <w:rFonts w:ascii="Arial" w:hAnsi="Arial" w:eastAsia="Arial"/>
          <w:b/>
          <w:i w:val="0"/>
          <w:color w:val="EE0000"/>
          <w:sz w:val="22"/>
        </w:rPr>
        <w:t>1,570 en 2018 a 22,228 en 2024</w:t>
      </w:r>
      <w:r>
        <w:rPr>
          <w:rFonts w:ascii="Arial" w:hAnsi="Arial" w:eastAsia="Arial"/>
          <w:b/>
          <w:i w:val="0"/>
          <w:color w:val="EE0000"/>
          <w:sz w:val="22"/>
        </w:rPr>
        <w:t xml:space="preserve"> (Fiscalía General del Estado, datos sistematizados por InSight Crime), con 16,129 más en 2025 (Informe de labores 2025 de la Fiscalía). </w:t>
      </w:r>
      <w:r>
        <w:rPr>
          <w:rFonts w:ascii="Arial" w:hAnsi="Arial" w:eastAsia="Arial"/>
          <w:b/>
          <w:i w:val="0"/>
          <w:color w:val="EE0000"/>
          <w:sz w:val="22"/>
        </w:rPr>
        <w:t>Perú</w:t>
      </w:r>
      <w:r>
        <w:rPr>
          <w:rFonts w:ascii="Arial" w:hAnsi="Arial" w:eastAsia="Arial"/>
          <w:b/>
          <w:i w:val="0"/>
          <w:color w:val="EE0000"/>
          <w:sz w:val="22"/>
        </w:rPr>
        <w:t xml:space="preserve"> exige desde 2015-2017 registro </w:t>
      </w:r>
      <w:r>
        <w:rPr>
          <w:rFonts w:ascii="Arial" w:hAnsi="Arial" w:eastAsia="Arial"/>
          <w:b/>
          <w:i w:val="0"/>
          <w:color w:val="EE0000"/>
          <w:sz w:val="22"/>
        </w:rPr>
        <w:t>biométrico</w:t>
      </w:r>
      <w:r>
        <w:rPr>
          <w:rFonts w:ascii="Arial" w:hAnsi="Arial" w:eastAsia="Arial"/>
          <w:b/>
          <w:i w:val="0"/>
          <w:color w:val="EE0000"/>
          <w:sz w:val="22"/>
        </w:rPr>
        <w:t xml:space="preserve"> —huella dactilar validada contra el registro civil— para toda línea de prepago, y aun así cerró 2025 con más de </w:t>
      </w:r>
      <w:r>
        <w:rPr>
          <w:rFonts w:ascii="Arial" w:hAnsi="Arial" w:eastAsia="Arial"/>
          <w:b/>
          <w:i w:val="0"/>
          <w:color w:val="EE0000"/>
          <w:sz w:val="22"/>
        </w:rPr>
        <w:t>25 mil denuncias de extorsión, 20 % más que en 2024</w:t>
      </w:r>
      <w:r>
        <w:rPr>
          <w:rFonts w:ascii="Arial" w:hAnsi="Arial" w:eastAsia="Arial"/>
          <w:b/>
          <w:i w:val="0"/>
          <w:color w:val="EE0000"/>
          <w:sz w:val="22"/>
        </w:rPr>
        <w:t>, su máximo histórico (datos de la Policía Nacional del Perú). Donde el registro existe —incluso con la misma sanción de suspensión, incluso con biometría—, la extorsión no baja.</w:t>
      </w:r>
      <w:r>
        <w:rPr>
          <w:rFonts w:ascii="Arial" w:hAnsi="Arial" w:eastAsia="Arial"/>
          <w:b w:val="0"/>
          <w:i w:val="0"/>
          <w:sz w:val="22"/>
        </w:rPr>
        <w:t xml:space="preserve"> Lo único que el registro produce con certeza es lo que hoy vive México: ciudadanos desconectados y un mercado de identidades ajenas.</w:t>
      </w:r>
    </w:p>
    <w:p>
      <w:pPr>
        <w:ind w:left="425"/>
        <w:jc w:val="both"/>
      </w:pPr>
      <w:r>
        <w:rPr>
          <w:rFonts w:ascii="Arial" w:hAnsi="Arial" w:eastAsia="Arial"/>
          <w:b w:val="0"/>
          <w:i w:val="0"/>
          <w:sz w:val="22"/>
        </w:rPr>
        <w:t xml:space="preserve">e) En el balance que ordena el artículo 128, fracción III, la sociedad </w:t>
      </w:r>
      <w:r>
        <w:rPr>
          <w:rFonts w:ascii="Arial" w:hAnsi="Arial" w:eastAsia="Arial"/>
          <w:b/>
          <w:i w:val="0"/>
          <w:sz w:val="22"/>
        </w:rPr>
        <w:t>no recibe beneficio ordinario alguno</w:t>
      </w:r>
      <w:r>
        <w:rPr>
          <w:rFonts w:ascii="Arial" w:hAnsi="Arial" w:eastAsia="Arial"/>
          <w:b w:val="0"/>
          <w:i w:val="0"/>
          <w:sz w:val="22"/>
        </w:rPr>
        <w:t xml:space="preserve"> de que mi línea esté muerta —no se evita un solo delito, porque el delincuente no usa mi línea— y sí pierde: una persona incomunicada, sin posibilidad de recibir una llamada de auxilio, sin banca, sin trabajo. En cambio, el Estado conserva intactas la localización geográfica, los datos conservados y la intervención de comunicaciones (arts. 182 y 183 LMTR; 303 CNPP), que la Corte tuvo por igualmente idóneas y menos lesivas. Tampoco se actualiza la fracción III del artículo 129: mantener activa la línea de una persona identificada por su contrato no </w:t>
      </w:r>
      <w:r>
        <w:rPr>
          <w:rFonts w:ascii="Arial" w:hAnsi="Arial" w:eastAsia="Arial"/>
          <w:b w:val="0"/>
          <w:i/>
          <w:sz w:val="22"/>
        </w:rPr>
        <w:t>"permite la consumación o continuación de delitos"</w:t>
      </w:r>
      <w:r>
        <w:rPr>
          <w:rFonts w:ascii="Arial" w:hAnsi="Arial" w:eastAsia="Arial"/>
          <w:b w:val="0"/>
          <w:i w:val="0"/>
          <w:sz w:val="22"/>
        </w:rPr>
        <w:t xml:space="preserve">. Y respecto de la búsqueda de personas desaparecidas —argumento que suele oponerse a estas medidas— la suspensión de la línea de una persona no guarda relación alguna con esa finalidad, como ya lo reconocieron los tribunales al sostener que la medida </w:t>
      </w:r>
      <w:r>
        <w:rPr>
          <w:rFonts w:ascii="Arial" w:hAnsi="Arial" w:eastAsia="Arial"/>
          <w:b w:val="0"/>
          <w:i/>
          <w:sz w:val="22"/>
        </w:rPr>
        <w:t>"no impide a las autoridades competentes ejercer sus atribuciones legales ni activar los mecanismos necesarios para localizar personas desaparecidas"</w:t>
      </w:r>
      <w:r>
        <w:rPr>
          <w:rFonts w:ascii="Arial" w:hAnsi="Arial" w:eastAsia="Arial"/>
          <w:b w:val="0"/>
          <w:i w:val="0"/>
          <w:sz w:val="22"/>
        </w:rPr>
        <w:t xml:space="preserve"> (tesis registro </w:t>
      </w:r>
      <w:r>
        <w:rPr>
          <w:rFonts w:ascii="Arial" w:hAnsi="Arial" w:eastAsia="Arial"/>
          <w:b/>
          <w:i w:val="0"/>
          <w:sz w:val="22"/>
        </w:rPr>
        <w:t>2032355</w:t>
      </w:r>
      <w:r>
        <w:rPr>
          <w:rFonts w:ascii="Arial" w:hAnsi="Arial" w:eastAsia="Arial"/>
          <w:b w:val="0"/>
          <w:i w:val="0"/>
          <w:sz w:val="22"/>
        </w:rPr>
        <w:t>).</w:t>
      </w:r>
    </w:p>
    <w:p>
      <w:pPr>
        <w:ind w:left="425"/>
        <w:jc w:val="both"/>
      </w:pPr>
      <w:r>
        <w:rPr>
          <w:rFonts w:ascii="Arial" w:hAnsi="Arial" w:eastAsia="Arial"/>
          <w:b/>
          <w:i w:val="0"/>
          <w:sz w:val="22"/>
        </w:rPr>
        <w:t>(IV) Apariencia del buen derecho.</w:t>
      </w:r>
      <w:r>
        <w:rPr>
          <w:rFonts w:ascii="Arial" w:hAnsi="Arial" w:eastAsia="Arial"/>
          <w:b w:val="0"/>
          <w:i w:val="0"/>
          <w:sz w:val="22"/>
        </w:rPr>
        <w:t xml:space="preserve"> Existe un precedente del Pleno de la Suprema Corte —la AI 82/2021— que declaró inválido un sistema de la misma naturaleza por desproporcionado, y criterios recientes de Tribunales Colegiados que suspenden la aplicación del régimen de identidad biométrica al que la CURP está vinculada. Destacadamente, el Segundo Tribunal Colegiado en Materia Administrativa del Segundo Circuito, al resolver la </w:t>
      </w:r>
      <w:r>
        <w:rPr>
          <w:rFonts w:ascii="Arial" w:hAnsi="Arial" w:eastAsia="Arial"/>
          <w:b/>
          <w:i w:val="0"/>
          <w:sz w:val="22"/>
        </w:rPr>
        <w:t>queja 260/2026</w:t>
      </w:r>
      <w:r>
        <w:rPr>
          <w:rFonts w:ascii="Arial" w:hAnsi="Arial" w:eastAsia="Arial"/>
          <w:b w:val="0"/>
          <w:i w:val="0"/>
          <w:sz w:val="22"/>
        </w:rPr>
        <w:t xml:space="preserve"> (junio de 2026), revocó la negativa de un Juzgado de Distrito y concedió la suspensión provisional para que a la persona quejosa no se le exigieran la CURP biométrica, las huellas ni la llamada "prueba de vida" como condición para registrar o conservar sus líneas móviles — primera medida de ese tipo dictada por un órgano colegiado en esta materia, de cobertura pública nacional y corroborable en los sistemas del propio Poder Judicial de la Federación. Con ello, del análisis preliminar se desprende que la pretensión de fondo es cuando menos plausible, sin prejuzgar. La ponderación debe hacerse de manera </w:t>
      </w:r>
      <w:r>
        <w:rPr>
          <w:rFonts w:ascii="Arial" w:hAnsi="Arial" w:eastAsia="Arial"/>
          <w:b/>
          <w:i w:val="0"/>
          <w:sz w:val="22"/>
        </w:rPr>
        <w:t>simultánea</w:t>
      </w:r>
      <w:r>
        <w:rPr>
          <w:rFonts w:ascii="Arial" w:hAnsi="Arial" w:eastAsia="Arial"/>
          <w:b w:val="0"/>
          <w:i w:val="0"/>
          <w:sz w:val="22"/>
        </w:rPr>
        <w:t xml:space="preserve"> entre la apariencia del buen derecho y el peligro en la demora, por un lado, y el interés social, por otro (jurisprudencia </w:t>
      </w:r>
      <w:r>
        <w:rPr>
          <w:rFonts w:ascii="Arial" w:hAnsi="Arial" w:eastAsia="Arial"/>
          <w:b/>
          <w:i w:val="0"/>
          <w:sz w:val="22"/>
        </w:rPr>
        <w:t>2a./J. 204/2009</w:t>
      </w:r>
      <w:r>
        <w:rPr>
          <w:rFonts w:ascii="Arial" w:hAnsi="Arial" w:eastAsia="Arial"/>
          <w:b w:val="0"/>
          <w:i w:val="0"/>
          <w:sz w:val="22"/>
        </w:rPr>
        <w:t xml:space="preserve">, registro </w:t>
      </w:r>
      <w:r>
        <w:rPr>
          <w:rFonts w:ascii="Arial" w:hAnsi="Arial" w:eastAsia="Arial"/>
          <w:b/>
          <w:i w:val="0"/>
          <w:sz w:val="22"/>
        </w:rPr>
        <w:t>165659</w:t>
      </w:r>
      <w:r>
        <w:rPr>
          <w:rFonts w:ascii="Arial" w:hAnsi="Arial" w:eastAsia="Arial"/>
          <w:b w:val="0"/>
          <w:i w:val="0"/>
          <w:sz w:val="22"/>
        </w:rPr>
        <w:t xml:space="preserve">), y no puede negarse la medida de forma dogmática con base en una predicción hipotética sobre el resultado del juicio (jurisprudencia </w:t>
      </w:r>
      <w:r>
        <w:rPr>
          <w:rFonts w:ascii="Arial" w:hAnsi="Arial" w:eastAsia="Arial"/>
          <w:b/>
          <w:i w:val="0"/>
          <w:sz w:val="22"/>
        </w:rPr>
        <w:t>I.20o.A. J/7 K (11a.)</w:t>
      </w:r>
      <w:r>
        <w:rPr>
          <w:rFonts w:ascii="Arial" w:hAnsi="Arial" w:eastAsia="Arial"/>
          <w:b w:val="0"/>
          <w:i w:val="0"/>
          <w:sz w:val="22"/>
        </w:rPr>
        <w:t xml:space="preserve">, registro </w:t>
      </w:r>
      <w:r>
        <w:rPr>
          <w:rFonts w:ascii="Arial" w:hAnsi="Arial" w:eastAsia="Arial"/>
          <w:b/>
          <w:i w:val="0"/>
          <w:sz w:val="22"/>
        </w:rPr>
        <w:t>2029400</w:t>
      </w:r>
      <w:r>
        <w:rPr>
          <w:rFonts w:ascii="Arial" w:hAnsi="Arial" w:eastAsia="Arial"/>
          <w:b w:val="0"/>
          <w:i w:val="0"/>
          <w:sz w:val="22"/>
        </w:rPr>
        <w:t>).</w:t>
      </w:r>
    </w:p>
    <w:p>
      <w:pPr>
        <w:jc w:val="both"/>
      </w:pPr>
      <w:r>
        <w:rPr>
          <w:rFonts w:ascii="Arial" w:hAnsi="Arial" w:eastAsia="Arial"/>
          <w:b/>
          <w:i w:val="0"/>
          <w:sz w:val="22"/>
        </w:rPr>
        <w:t>El corte de un servicio esencial trasciende lo contractual.</w:t>
      </w:r>
      <w:r>
        <w:rPr>
          <w:rFonts w:ascii="Arial" w:hAnsi="Arial" w:eastAsia="Arial"/>
          <w:b w:val="0"/>
          <w:i w:val="0"/>
          <w:sz w:val="22"/>
        </w:rPr>
        <w:t xml:space="preserve"> Los tribunales federales han sostenido, respecto del corte del suministro de energía eléctrica, que la interrupción de un servicio del que dependen derechos fundamentales </w:t>
      </w:r>
      <w:r>
        <w:rPr>
          <w:rFonts w:ascii="Arial" w:hAnsi="Arial" w:eastAsia="Arial"/>
          <w:b w:val="0"/>
          <w:i/>
          <w:sz w:val="22"/>
        </w:rPr>
        <w:t>"trasciende el plano contractual y adquiere relevancia constitucional"</w:t>
      </w:r>
      <w:r>
        <w:rPr>
          <w:rFonts w:ascii="Arial" w:hAnsi="Arial" w:eastAsia="Arial"/>
          <w:b w:val="0"/>
          <w:i w:val="0"/>
          <w:sz w:val="22"/>
        </w:rPr>
        <w:t xml:space="preserve">, por lo que procede la suspensión provisional para evitar el corte </w:t>
      </w:r>
      <w:r>
        <w:rPr>
          <w:rFonts w:ascii="Arial" w:hAnsi="Arial" w:eastAsia="Arial"/>
          <w:b/>
          <w:i w:val="0"/>
          <w:sz w:val="22"/>
        </w:rPr>
        <w:t>y, si ya se ejecutó, ordenar la reconexión</w:t>
      </w:r>
      <w:r>
        <w:rPr>
          <w:rFonts w:ascii="Arial" w:hAnsi="Arial" w:eastAsia="Arial"/>
          <w:b w:val="0"/>
          <w:i w:val="0"/>
          <w:sz w:val="22"/>
        </w:rPr>
        <w:t xml:space="preserve"> (tesis </w:t>
      </w:r>
      <w:r>
        <w:rPr>
          <w:rFonts w:ascii="Arial" w:hAnsi="Arial" w:eastAsia="Arial"/>
          <w:b/>
          <w:i w:val="0"/>
          <w:sz w:val="22"/>
        </w:rPr>
        <w:t>I.20o.A.19 A (12a.)</w:t>
      </w:r>
      <w:r>
        <w:rPr>
          <w:rFonts w:ascii="Arial" w:hAnsi="Arial" w:eastAsia="Arial"/>
          <w:b w:val="0"/>
          <w:i w:val="0"/>
          <w:sz w:val="22"/>
        </w:rPr>
        <w:t xml:space="preserve">, registro </w:t>
      </w:r>
      <w:r>
        <w:rPr>
          <w:rFonts w:ascii="Arial" w:hAnsi="Arial" w:eastAsia="Arial"/>
          <w:b/>
          <w:i w:val="0"/>
          <w:sz w:val="22"/>
        </w:rPr>
        <w:t>2031817</w:t>
      </w:r>
      <w:r>
        <w:rPr>
          <w:rFonts w:ascii="Arial" w:hAnsi="Arial" w:eastAsia="Arial"/>
          <w:b w:val="0"/>
          <w:i w:val="0"/>
          <w:sz w:val="22"/>
        </w:rPr>
        <w:t xml:space="preserve">); y que, existiendo contrato y sin ilícito probado, procede concederla </w:t>
      </w:r>
      <w:r>
        <w:rPr>
          <w:rFonts w:ascii="Arial" w:hAnsi="Arial" w:eastAsia="Arial"/>
          <w:b w:val="0"/>
          <w:i/>
          <w:sz w:val="22"/>
        </w:rPr>
        <w:t>"para el efecto de que se siga prestando el servicio en los términos contratados"</w:t>
      </w:r>
      <w:r>
        <w:rPr>
          <w:rFonts w:ascii="Arial" w:hAnsi="Arial" w:eastAsia="Arial"/>
          <w:b w:val="0"/>
          <w:i w:val="0"/>
          <w:sz w:val="22"/>
        </w:rPr>
        <w:t xml:space="preserve">, pues lo contrario viola la presunción de inocencia y el derecho a una vida digna (tesis </w:t>
      </w:r>
      <w:r>
        <w:rPr>
          <w:rFonts w:ascii="Arial" w:hAnsi="Arial" w:eastAsia="Arial"/>
          <w:b/>
          <w:i w:val="0"/>
          <w:sz w:val="22"/>
        </w:rPr>
        <w:t>IV.1o.A.73 A (10a.)</w:t>
      </w:r>
      <w:r>
        <w:rPr>
          <w:rFonts w:ascii="Arial" w:hAnsi="Arial" w:eastAsia="Arial"/>
          <w:b w:val="0"/>
          <w:i w:val="0"/>
          <w:sz w:val="22"/>
        </w:rPr>
        <w:t xml:space="preserve">, registro </w:t>
      </w:r>
      <w:r>
        <w:rPr>
          <w:rFonts w:ascii="Arial" w:hAnsi="Arial" w:eastAsia="Arial"/>
          <w:b/>
          <w:i w:val="0"/>
          <w:sz w:val="22"/>
        </w:rPr>
        <w:t>2016838</w:t>
      </w:r>
      <w:r>
        <w:rPr>
          <w:rFonts w:ascii="Arial" w:hAnsi="Arial" w:eastAsia="Arial"/>
          <w:b w:val="0"/>
          <w:i w:val="0"/>
          <w:sz w:val="22"/>
        </w:rPr>
        <w:t xml:space="preserve">). La misma razón rige aquí con mayor fuerza: la línea móvil es hoy el soporte de la comunicación, el trabajo, la banca y la seguridad de las personas, y el corte no obedece a incumplimiento alguno del usuario. Asimismo, por identidad de razón, los Plenos Regionales han reconocido que quien acude al amparo como titular de una relación jurídica anterior a la norma reclamada —allí, concesiones mineras; aquí, un contrato de servicio vigente— goza de apariencia del buen derecho derivada de la seguridad jurídica y la confianza legítima (jurisprudencia </w:t>
      </w:r>
      <w:r>
        <w:rPr>
          <w:rFonts w:ascii="Arial" w:hAnsi="Arial" w:eastAsia="Arial"/>
          <w:b/>
          <w:i w:val="0"/>
          <w:sz w:val="22"/>
        </w:rPr>
        <w:t>PR.A.CN. J/87 A (11a.)</w:t>
      </w:r>
      <w:r>
        <w:rPr>
          <w:rFonts w:ascii="Arial" w:hAnsi="Arial" w:eastAsia="Arial"/>
          <w:b w:val="0"/>
          <w:i w:val="0"/>
          <w:sz w:val="22"/>
        </w:rPr>
        <w:t xml:space="preserve">, registro </w:t>
      </w:r>
      <w:r>
        <w:rPr>
          <w:rFonts w:ascii="Arial" w:hAnsi="Arial" w:eastAsia="Arial"/>
          <w:b/>
          <w:i w:val="0"/>
          <w:sz w:val="22"/>
        </w:rPr>
        <w:t>2028398</w:t>
      </w:r>
      <w:r>
        <w:rPr>
          <w:rFonts w:ascii="Arial" w:hAnsi="Arial" w:eastAsia="Arial"/>
          <w:b w:val="0"/>
          <w:i w:val="0"/>
          <w:sz w:val="22"/>
        </w:rPr>
        <w:t>, aplicable por analogía).</w:t>
      </w:r>
    </w:p>
    <w:p>
      <w:pPr>
        <w:jc w:val="both"/>
      </w:pPr>
      <w:r>
        <w:rPr>
          <w:rFonts w:ascii="Arial" w:hAnsi="Arial" w:eastAsia="Arial"/>
          <w:b/>
          <w:i w:val="0"/>
          <w:sz w:val="22"/>
        </w:rPr>
        <w:t>Naturaleza restitutoria.</w:t>
      </w:r>
      <w:r>
        <w:rPr>
          <w:rFonts w:ascii="Arial" w:hAnsi="Arial" w:eastAsia="Arial"/>
          <w:b w:val="0"/>
          <w:i w:val="0"/>
          <w:sz w:val="22"/>
        </w:rPr>
        <w:t xml:space="preserve"> La suspensión con efectos restitutorios es procedente cuando no agota la materia del juicio y sus efectos son reversibles, como lo ha sostenido el Pleno Regional Centro-Norte respecto de otro requisito de acceso (jurisprudencia </w:t>
      </w:r>
      <w:r>
        <w:rPr>
          <w:rFonts w:ascii="Arial" w:hAnsi="Arial" w:eastAsia="Arial"/>
          <w:b/>
          <w:i w:val="0"/>
          <w:sz w:val="22"/>
        </w:rPr>
        <w:t>PR.A.C.CN. J/76 A (11a.)</w:t>
      </w:r>
      <w:r>
        <w:rPr>
          <w:rFonts w:ascii="Arial" w:hAnsi="Arial" w:eastAsia="Arial"/>
          <w:b w:val="0"/>
          <w:i w:val="0"/>
          <w:sz w:val="22"/>
        </w:rPr>
        <w:t xml:space="preserve">, registro </w:t>
      </w:r>
      <w:r>
        <w:rPr>
          <w:rFonts w:ascii="Arial" w:hAnsi="Arial" w:eastAsia="Arial"/>
          <w:b/>
          <w:i w:val="0"/>
          <w:sz w:val="22"/>
        </w:rPr>
        <w:t>2031316</w:t>
      </w:r>
      <w:r>
        <w:rPr>
          <w:rFonts w:ascii="Arial" w:hAnsi="Arial" w:eastAsia="Arial"/>
          <w:b w:val="0"/>
          <w:i w:val="0"/>
          <w:sz w:val="22"/>
        </w:rPr>
        <w:t xml:space="preserve">, por analogía): si al final se negara el amparo, la línea simplemente se deshabilitaría; en cambio, de negarse la medida, la privación del servicio y la eventual pérdida del número serían de </w:t>
      </w:r>
      <w:r>
        <w:rPr>
          <w:rFonts w:ascii="Arial" w:hAnsi="Arial" w:eastAsia="Arial"/>
          <w:b/>
          <w:i w:val="0"/>
          <w:sz w:val="22"/>
        </w:rPr>
        <w:t>imposible reparación</w:t>
      </w:r>
      <w:r>
        <w:rPr>
          <w:rFonts w:ascii="Arial" w:hAnsi="Arial" w:eastAsia="Arial"/>
          <w:b w:val="0"/>
          <w:i w:val="0"/>
          <w:sz w:val="22"/>
        </w:rPr>
        <w:t>.</w:t>
      </w:r>
    </w:p>
    <w:p>
      <w:pPr>
        <w:jc w:val="both"/>
      </w:pPr>
      <w:r>
        <w:rPr>
          <w:rFonts w:ascii="Arial" w:hAnsi="Arial" w:eastAsia="Arial"/>
          <w:b/>
          <w:i w:val="0"/>
          <w:sz w:val="22"/>
        </w:rPr>
        <w:t>Ejecución a cargo de un particular.</w:t>
      </w:r>
      <w:r>
        <w:rPr>
          <w:rFonts w:ascii="Arial" w:hAnsi="Arial" w:eastAsia="Arial"/>
          <w:b w:val="0"/>
          <w:i w:val="0"/>
          <w:sz w:val="22"/>
        </w:rPr>
        <w:t xml:space="preserve"> El hecho de que la deshabilitación la ejecute materialmente la prestadora del servicio no impide la suspensión: la Segunda Sala ha establecido que procede conceder la medida contra la ejecución a cargo de particulares cuando actúan en virtud de un mandato de autoridad, quedando la autoridad obligada a vigilar su cumplimiento (jurisprudencia </w:t>
      </w:r>
      <w:r>
        <w:rPr>
          <w:rFonts w:ascii="Arial" w:hAnsi="Arial" w:eastAsia="Arial"/>
          <w:b/>
          <w:i w:val="0"/>
          <w:sz w:val="22"/>
        </w:rPr>
        <w:t>2a./J. 148/2012 (10a.)</w:t>
      </w:r>
      <w:r>
        <w:rPr>
          <w:rFonts w:ascii="Arial" w:hAnsi="Arial" w:eastAsia="Arial"/>
          <w:b w:val="0"/>
          <w:i w:val="0"/>
          <w:sz w:val="22"/>
        </w:rPr>
        <w:t xml:space="preserve">, registro </w:t>
      </w:r>
      <w:r>
        <w:rPr>
          <w:rFonts w:ascii="Arial" w:hAnsi="Arial" w:eastAsia="Arial"/>
          <w:b/>
          <w:i w:val="0"/>
          <w:sz w:val="22"/>
        </w:rPr>
        <w:t>2004604</w:t>
      </w:r>
      <w:r>
        <w:rPr>
          <w:rFonts w:ascii="Arial" w:hAnsi="Arial" w:eastAsia="Arial"/>
          <w:b w:val="0"/>
          <w:i w:val="0"/>
          <w:sz w:val="22"/>
        </w:rPr>
        <w:t xml:space="preserve">), y el artículo 149 de la Ley de Amparo dispone precisamente que, cuando </w:t>
      </w:r>
      <w:r>
        <w:rPr>
          <w:rFonts w:ascii="Arial" w:hAnsi="Arial" w:eastAsia="Arial"/>
          <w:b w:val="0"/>
          <w:i/>
          <w:sz w:val="22"/>
        </w:rPr>
        <w:t>"por mandato expreso de una norma general […] un particular tuviere […] intervención en la ejecución […] del acto reclamado, el efecto de la suspensión será que la autoridad responsable ordene a dicho particular la inmediata paralización"</w:t>
      </w:r>
      <w:r>
        <w:rPr>
          <w:rFonts w:ascii="Arial" w:hAnsi="Arial" w:eastAsia="Arial"/>
          <w:b w:val="0"/>
          <w:i w:val="0"/>
          <w:sz w:val="22"/>
        </w:rPr>
        <w:t>.</w:t>
      </w:r>
    </w:p>
    <w:p>
      <w:pPr>
        <w:jc w:val="both"/>
      </w:pPr>
      <w:r>
        <w:rPr>
          <w:rFonts w:ascii="Arial" w:hAnsi="Arial" w:eastAsia="Arial"/>
          <w:b/>
          <w:i w:val="0"/>
          <w:sz w:val="22"/>
        </w:rPr>
        <w:t>Objeto y alcance de la suspensión: procede porque recae sobre la consecuencia individual de una ley del Congreso, no sobre la regulación del sector.</w:t>
      </w:r>
      <w:r>
        <w:rPr>
          <w:rFonts w:ascii="Arial" w:hAnsi="Arial" w:eastAsia="Arial"/>
          <w:b w:val="0"/>
          <w:i w:val="0"/>
          <w:sz w:val="22"/>
        </w:rPr>
        <w:t xml:space="preserve"> La medida se pide contra la consecuencia individual de una </w:t>
      </w:r>
      <w:r>
        <w:rPr>
          <w:rFonts w:ascii="Arial" w:hAnsi="Arial" w:eastAsia="Arial"/>
          <w:b/>
          <w:i w:val="0"/>
          <w:sz w:val="22"/>
        </w:rPr>
        <w:t>ley del Congreso de la Unión</w:t>
      </w:r>
      <w:r>
        <w:rPr>
          <w:rFonts w:ascii="Arial" w:hAnsi="Arial" w:eastAsia="Arial"/>
          <w:b w:val="0"/>
          <w:i w:val="0"/>
          <w:sz w:val="22"/>
        </w:rPr>
        <w:t xml:space="preserve">: es el artículo Trigésimo Transitorio, párrafo segundo, de la LMTR el que dispone que toda línea no identificada </w:t>
      </w:r>
      <w:r>
        <w:rPr>
          <w:rFonts w:ascii="Arial" w:hAnsi="Arial" w:eastAsia="Arial"/>
          <w:b w:val="0"/>
          <w:i/>
          <w:sz w:val="22"/>
        </w:rPr>
        <w:t>"será suspendida"</w:t>
      </w:r>
      <w:r>
        <w:rPr>
          <w:rFonts w:ascii="Arial" w:hAnsi="Arial" w:eastAsia="Arial"/>
          <w:b w:val="0"/>
          <w:i w:val="0"/>
          <w:sz w:val="22"/>
        </w:rPr>
        <w:t xml:space="preserve">, y son los artículos 103 y 164, fracción III, los que ordenan a los prestadores mantener activas solo las líneas identificadas; la Comisión se limitó a fijar el calendario, y la ejecución material corresponde a un particular. Por eso el objeto de la suspensión es paralizar, únicamente respecto de mi línea, esa consecuencia legal (arts. 148, párr. 2, y 149 LA). Las reglas que limitan la suspensión en materia de telecomunicaciones están construidas sobre los actos del </w:t>
      </w:r>
      <w:r>
        <w:rPr>
          <w:rFonts w:ascii="Arial" w:hAnsi="Arial" w:eastAsia="Arial"/>
          <w:b/>
          <w:i w:val="0"/>
          <w:sz w:val="22"/>
        </w:rPr>
        <w:t>regulador</w:t>
      </w:r>
      <w:r>
        <w:rPr>
          <w:rFonts w:ascii="Arial" w:hAnsi="Arial" w:eastAsia="Arial"/>
          <w:b w:val="0"/>
          <w:i w:val="0"/>
          <w:sz w:val="22"/>
        </w:rPr>
        <w:t xml:space="preserve">: el artículo 28 constitucional se refiere a las </w:t>
      </w:r>
      <w:r>
        <w:rPr>
          <w:rFonts w:ascii="Arial" w:hAnsi="Arial" w:eastAsia="Arial"/>
          <w:b w:val="0"/>
          <w:i/>
          <w:sz w:val="22"/>
        </w:rPr>
        <w:t xml:space="preserve">"normas generales y actos </w:t>
      </w:r>
      <w:r>
        <w:rPr>
          <w:rFonts w:ascii="Arial" w:hAnsi="Arial" w:eastAsia="Arial"/>
          <w:b w:val="0"/>
          <w:i/>
          <w:sz w:val="22"/>
        </w:rPr>
        <w:t>emitidos</w:t>
      </w:r>
      <w:r>
        <w:rPr>
          <w:rFonts w:ascii="Arial" w:hAnsi="Arial" w:eastAsia="Arial"/>
          <w:b w:val="0"/>
          <w:i/>
          <w:sz w:val="22"/>
        </w:rPr>
        <w:t xml:space="preserve"> en materia de telecomunicaciones y radiodifusión, en cumplimiento de las facultades atribuidas en los párrafos décimo quinto al décimo noveno"</w:t>
      </w:r>
      <w:r>
        <w:rPr>
          <w:rFonts w:ascii="Arial" w:hAnsi="Arial" w:eastAsia="Arial"/>
          <w:b w:val="0"/>
          <w:i w:val="0"/>
          <w:sz w:val="22"/>
        </w:rPr>
        <w:t xml:space="preserve"> —facultades conferidas a autoridades administrativas, no al Congreso—; la legislación secundaria, a las normas, actos u omisiones </w:t>
      </w:r>
      <w:r>
        <w:rPr>
          <w:rFonts w:ascii="Arial" w:hAnsi="Arial" w:eastAsia="Arial"/>
          <w:b w:val="0"/>
          <w:i/>
          <w:sz w:val="22"/>
        </w:rPr>
        <w:t>"de la Comisión"</w:t>
      </w:r>
      <w:r>
        <w:rPr>
          <w:rFonts w:ascii="Arial" w:hAnsi="Arial" w:eastAsia="Arial"/>
          <w:b w:val="0"/>
          <w:i w:val="0"/>
          <w:sz w:val="22"/>
        </w:rPr>
        <w:t xml:space="preserve"> (art. 296 LMTR); y el artículo 128, último párrafo, de la Ley de Amparo —reformado el </w:t>
      </w:r>
      <w:r>
        <w:rPr>
          <w:rFonts w:ascii="Arial" w:hAnsi="Arial" w:eastAsia="Arial"/>
          <w:b/>
          <w:i w:val="0"/>
          <w:sz w:val="22"/>
        </w:rPr>
        <w:t>16 de octubre de 2025</w:t>
      </w:r>
      <w:r>
        <w:rPr>
          <w:rFonts w:ascii="Arial" w:hAnsi="Arial" w:eastAsia="Arial"/>
          <w:b w:val="0"/>
          <w:i w:val="0"/>
          <w:sz w:val="22"/>
        </w:rPr>
        <w:t xml:space="preserve">, con posterioridad a la reforma constitucional de 20 de diciembre de 2024— únicamente a las autoridades a que refieren los </w:t>
      </w:r>
      <w:r>
        <w:rPr>
          <w:rFonts w:ascii="Arial" w:hAnsi="Arial" w:eastAsia="Arial"/>
          <w:b/>
          <w:i w:val="0"/>
          <w:sz w:val="22"/>
        </w:rPr>
        <w:t>párrafos decimoquinto y decimoséptimo</w:t>
      </w:r>
      <w:r>
        <w:rPr>
          <w:rFonts w:ascii="Arial" w:hAnsi="Arial" w:eastAsia="Arial"/>
          <w:b w:val="0"/>
          <w:i w:val="0"/>
          <w:sz w:val="22"/>
        </w:rPr>
        <w:t xml:space="preserve"> del artículo 28 constitucional. Y este dato es decisivo, porque esos dos párrafos son los relativos a la </w:t>
      </w:r>
      <w:r>
        <w:rPr>
          <w:rFonts w:ascii="Arial" w:hAnsi="Arial" w:eastAsia="Arial"/>
          <w:b/>
          <w:i w:val="0"/>
          <w:sz w:val="22"/>
        </w:rPr>
        <w:t>autoridad en materia de libre competencia y concurrencia</w:t>
      </w:r>
      <w:r>
        <w:rPr>
          <w:rFonts w:ascii="Arial" w:hAnsi="Arial" w:eastAsia="Arial"/>
          <w:b w:val="0"/>
          <w:i w:val="0"/>
          <w:sz w:val="22"/>
        </w:rPr>
        <w:t xml:space="preserve">, mientras que la dependencia encargada de las políticas de telecomunicaciones y radiodifusión está regulada en los párrafos </w:t>
      </w:r>
      <w:r>
        <w:rPr>
          <w:rFonts w:ascii="Arial" w:hAnsi="Arial" w:eastAsia="Arial"/>
          <w:b/>
          <w:i w:val="0"/>
          <w:sz w:val="22"/>
        </w:rPr>
        <w:t>décimo sexto</w:t>
      </w:r>
      <w:r>
        <w:rPr>
          <w:rFonts w:ascii="Arial" w:hAnsi="Arial" w:eastAsia="Arial"/>
          <w:b w:val="0"/>
          <w:i w:val="0"/>
          <w:sz w:val="22"/>
        </w:rPr>
        <w:t xml:space="preserve"> y décimo octavo. No se trata de una lectura del quejoso: es la propia autoridad responsable la que lo reconoce, pues la Modificación reclamada se expide, según su propio proemio, </w:t>
      </w:r>
      <w:r>
        <w:rPr>
          <w:rFonts w:ascii="Arial" w:hAnsi="Arial" w:eastAsia="Arial"/>
          <w:b w:val="0"/>
          <w:i/>
          <w:sz w:val="22"/>
        </w:rPr>
        <w:t xml:space="preserve">"con fundamento en los artículos 28, </w:t>
      </w:r>
      <w:r>
        <w:rPr>
          <w:rFonts w:ascii="Arial" w:hAnsi="Arial" w:eastAsia="Arial"/>
          <w:b w:val="0"/>
          <w:i/>
          <w:sz w:val="22"/>
        </w:rPr>
        <w:t>párrafo décimo sexto</w:t>
      </w:r>
      <w:r>
        <w:rPr>
          <w:rFonts w:ascii="Arial" w:hAnsi="Arial" w:eastAsia="Arial"/>
          <w:b w:val="0"/>
          <w:i/>
          <w:sz w:val="22"/>
        </w:rPr>
        <w:t xml:space="preserve"> de la Constitución Política de los Estados Unidos Mexicanos"</w:t>
      </w:r>
      <w:r>
        <w:rPr>
          <w:rFonts w:ascii="Arial" w:hAnsi="Arial" w:eastAsia="Arial"/>
          <w:b w:val="0"/>
          <w:i w:val="0"/>
          <w:sz w:val="22"/>
        </w:rPr>
        <w:t xml:space="preserve">, y su primer considerando reitera que </w:t>
      </w:r>
      <w:r>
        <w:rPr>
          <w:rFonts w:ascii="Arial" w:hAnsi="Arial" w:eastAsia="Arial"/>
          <w:b w:val="0"/>
          <w:i/>
          <w:sz w:val="22"/>
        </w:rPr>
        <w:t>"el artículo 28, párrafo décimo sexto, de la Constitución... establece que el Ejecutivo Federal, a través de la dependencia encargada de elaborar y conducir las políticas de telecomunicaciones y radiodifusión, garantizará el desarrollo eficiente de la radiodifusión y las telecomunicaciones"</w:t>
      </w:r>
      <w:r>
        <w:rPr>
          <w:rFonts w:ascii="Arial" w:hAnsi="Arial" w:eastAsia="Arial"/>
          <w:b w:val="0"/>
          <w:i w:val="0"/>
          <w:sz w:val="22"/>
        </w:rPr>
        <w:t xml:space="preserve">. De modo que la autoridad emisora del acto reclamado se ubica, por su propia declaración, en un párrafo que el artículo 128 de la Ley de Amparo </w:t>
      </w:r>
      <w:r>
        <w:rPr>
          <w:rFonts w:ascii="Arial" w:hAnsi="Arial" w:eastAsia="Arial"/>
          <w:b/>
          <w:i w:val="0"/>
          <w:sz w:val="22"/>
        </w:rPr>
        <w:t>no incluye</w:t>
      </w:r>
      <w:r>
        <w:rPr>
          <w:rFonts w:ascii="Arial" w:hAnsi="Arial" w:eastAsia="Arial"/>
          <w:b w:val="0"/>
          <w:i w:val="0"/>
          <w:sz w:val="22"/>
        </w:rPr>
        <w:t xml:space="preserve"> entre aquellos cuyos actos no son susceptibles de suspensión. Siendo la Ley de Amparo la norma reglamentaria de los artículos 103 y 107 constitucionales, y siendo su reforma </w:t>
      </w:r>
      <w:r>
        <w:rPr>
          <w:rFonts w:ascii="Arial" w:hAnsi="Arial" w:eastAsia="Arial"/>
          <w:b/>
          <w:i w:val="0"/>
          <w:sz w:val="22"/>
        </w:rPr>
        <w:t>posterior</w:t>
      </w:r>
      <w:r>
        <w:rPr>
          <w:rFonts w:ascii="Arial" w:hAnsi="Arial" w:eastAsia="Arial"/>
          <w:b w:val="0"/>
          <w:i w:val="0"/>
          <w:sz w:val="22"/>
        </w:rPr>
        <w:t xml:space="preserve"> a la constitucional de 2024, ese recorte no puede tenerse por accidental: es el propio legislador quien delimitó el alcance de la restricción cautelar, y donde la ley no distingue en perjuicio del gobernado no puede el juzgador extender por analogía una excepción a la tutela judicial. Una ley del Congreso no es una norma </w:t>
      </w:r>
      <w:r>
        <w:rPr>
          <w:rFonts w:ascii="Arial" w:hAnsi="Arial" w:eastAsia="Arial"/>
          <w:b w:val="0"/>
          <w:i/>
          <w:sz w:val="22"/>
        </w:rPr>
        <w:t>"emitida en cumplimiento de las facultades"</w:t>
      </w:r>
      <w:r>
        <w:rPr>
          <w:rFonts w:ascii="Arial" w:hAnsi="Arial" w:eastAsia="Arial"/>
          <w:b w:val="0"/>
          <w:i w:val="0"/>
          <w:sz w:val="22"/>
        </w:rPr>
        <w:t xml:space="preserve"> de esos párrafos, y la deshabilitación de una línea concreta no es un acto emitido por el regulador. En el mismo sentido, el Tribunal Colegiado especializado ha sostenido que la improcedencia de la suspensión en esta materia se refiere a los actos del propio regulador y no a </w:t>
      </w:r>
      <w:r>
        <w:rPr>
          <w:rFonts w:ascii="Arial" w:hAnsi="Arial" w:eastAsia="Arial"/>
          <w:b w:val="0"/>
          <w:i/>
          <w:sz w:val="22"/>
        </w:rPr>
        <w:t>"los efectos y consecuencias de normas generales expedidas por autoridades diversas"</w:t>
      </w:r>
      <w:r>
        <w:rPr>
          <w:rFonts w:ascii="Arial" w:hAnsi="Arial" w:eastAsia="Arial"/>
          <w:b w:val="0"/>
          <w:i w:val="0"/>
          <w:sz w:val="22"/>
        </w:rPr>
        <w:t xml:space="preserve"> (tesis </w:t>
      </w:r>
      <w:r>
        <w:rPr>
          <w:rFonts w:ascii="Arial" w:hAnsi="Arial" w:eastAsia="Arial"/>
          <w:b/>
          <w:i w:val="0"/>
          <w:sz w:val="22"/>
        </w:rPr>
        <w:t>I.1o.A.E.75 A (10a.)</w:t>
      </w:r>
      <w:r>
        <w:rPr>
          <w:rFonts w:ascii="Arial" w:hAnsi="Arial" w:eastAsia="Arial"/>
          <w:b w:val="0"/>
          <w:i w:val="0"/>
          <w:sz w:val="22"/>
        </w:rPr>
        <w:t xml:space="preserve">, registro </w:t>
      </w:r>
      <w:r>
        <w:rPr>
          <w:rFonts w:ascii="Arial" w:hAnsi="Arial" w:eastAsia="Arial"/>
          <w:b/>
          <w:i w:val="0"/>
          <w:sz w:val="22"/>
        </w:rPr>
        <w:t>2010132</w:t>
      </w:r>
      <w:r>
        <w:rPr>
          <w:rFonts w:ascii="Arial" w:hAnsi="Arial" w:eastAsia="Arial"/>
          <w:b w:val="0"/>
          <w:i w:val="0"/>
          <w:sz w:val="22"/>
        </w:rPr>
        <w:t xml:space="preserve">, aplicable por identidad de razón). Tratándose, además, de una excepción a la tutela cautelar que la Constitución garantiza (art. 107, fracc. X), su interpretación ha de ser estricta y conforme al principio pro persona (art. 1o., párr. 2, CPEUM): esa excepción nació para impedir que los agentes regulados paralizaran la regulación del mercado, y ninguna regulación se paraliza porque una persona conserve su línea. La medida </w:t>
      </w:r>
      <w:r>
        <w:rPr>
          <w:rFonts w:ascii="Arial" w:hAnsi="Arial" w:eastAsia="Arial"/>
          <w:b/>
          <w:i w:val="0"/>
          <w:sz w:val="22"/>
        </w:rPr>
        <w:t>no suspende la vigencia ni la operación general de los Lineamientos</w:t>
      </w:r>
      <w:r>
        <w:rPr>
          <w:rFonts w:ascii="Arial" w:hAnsi="Arial" w:eastAsia="Arial"/>
          <w:b w:val="0"/>
          <w:i w:val="0"/>
          <w:sz w:val="22"/>
        </w:rPr>
        <w:t xml:space="preserve"> —que seguirán rigiendo para todos los prestadores y todas las demás personas usuarias—; paraliza únicamente, respecto de la persona quejosa, la consecuencia individual reclamada, sobre una línea contratada antes de su vigencia y a favor de una persona identificada por su propio contrato, mientras se decide el fondo. Entenderlo de otro modo significaría que </w:t>
      </w:r>
      <w:r>
        <w:rPr>
          <w:rFonts w:ascii="Arial" w:hAnsi="Arial" w:eastAsia="Arial"/>
          <w:b/>
          <w:i w:val="0"/>
          <w:sz w:val="22"/>
        </w:rPr>
        <w:t>ninguna</w:t>
      </w:r>
      <w:r>
        <w:rPr>
          <w:rFonts w:ascii="Arial" w:hAnsi="Arial" w:eastAsia="Arial"/>
          <w:b w:val="0"/>
          <w:i w:val="0"/>
          <w:sz w:val="22"/>
        </w:rPr>
        <w:t xml:space="preserve"> persona usuaria de telecomunicaciones en México podría obtener jamás una medida cautelar frente a la pérdida de su línea, por la sola circunstancia de que el regulador hubiera emitido un lineamiento sobre la materia, lo que convertiría una excepción pensada para el mercado en una denegación de tutela judicial efectiva a toda la población (arts. 17 CPEUM y 25 CADH), resultado que ninguna interpretación conforme puede avalar.</w:t>
      </w:r>
    </w:p>
    <w:p>
      <w:pPr>
        <w:jc w:val="both"/>
      </w:pPr>
      <w:r>
        <w:rPr>
          <w:rFonts w:ascii="Arial" w:hAnsi="Arial" w:eastAsia="Arial"/>
          <w:b/>
          <w:i w:val="0"/>
          <w:sz w:val="22"/>
        </w:rPr>
        <w:t>Sobre los criterios en sentido contrario.</w:t>
      </w:r>
      <w:r>
        <w:rPr>
          <w:rFonts w:ascii="Arial" w:hAnsi="Arial" w:eastAsia="Arial"/>
          <w:b w:val="0"/>
          <w:i w:val="0"/>
          <w:sz w:val="22"/>
        </w:rPr>
        <w:t xml:space="preserve"> No se desconoce que en 2010, respecto del RENAUT, un Tribunal Colegiado estimó improcedente la suspensión por ser de interés público la implementación del registro (tesis aisladas </w:t>
      </w:r>
      <w:r>
        <w:rPr>
          <w:rFonts w:ascii="Arial" w:hAnsi="Arial" w:eastAsia="Arial"/>
          <w:b/>
          <w:i w:val="0"/>
          <w:sz w:val="22"/>
        </w:rPr>
        <w:t>I.7o.A.717 A</w:t>
      </w:r>
      <w:r>
        <w:rPr>
          <w:rFonts w:ascii="Arial" w:hAnsi="Arial" w:eastAsia="Arial"/>
          <w:b w:val="0"/>
          <w:i w:val="0"/>
          <w:sz w:val="22"/>
        </w:rPr>
        <w:t xml:space="preserve"> y </w:t>
      </w:r>
      <w:r>
        <w:rPr>
          <w:rFonts w:ascii="Arial" w:hAnsi="Arial" w:eastAsia="Arial"/>
          <w:b/>
          <w:i w:val="0"/>
          <w:sz w:val="22"/>
        </w:rPr>
        <w:t>I.7o.A.718 A</w:t>
      </w:r>
      <w:r>
        <w:rPr>
          <w:rFonts w:ascii="Arial" w:hAnsi="Arial" w:eastAsia="Arial"/>
          <w:b w:val="0"/>
          <w:i w:val="0"/>
          <w:sz w:val="22"/>
        </w:rPr>
        <w:t xml:space="preserve">, registros </w:t>
      </w:r>
      <w:r>
        <w:rPr>
          <w:rFonts w:ascii="Arial" w:hAnsi="Arial" w:eastAsia="Arial"/>
          <w:b/>
          <w:i w:val="0"/>
          <w:sz w:val="22"/>
        </w:rPr>
        <w:t>163952</w:t>
      </w:r>
      <w:r>
        <w:rPr>
          <w:rFonts w:ascii="Arial" w:hAnsi="Arial" w:eastAsia="Arial"/>
          <w:b w:val="0"/>
          <w:i w:val="0"/>
          <w:sz w:val="22"/>
        </w:rPr>
        <w:t xml:space="preserve"> y </w:t>
      </w:r>
      <w:r>
        <w:rPr>
          <w:rFonts w:ascii="Arial" w:hAnsi="Arial" w:eastAsia="Arial"/>
          <w:b/>
          <w:i w:val="0"/>
          <w:sz w:val="22"/>
        </w:rPr>
        <w:t>163953</w:t>
      </w:r>
      <w:r>
        <w:rPr>
          <w:rFonts w:ascii="Arial" w:hAnsi="Arial" w:eastAsia="Arial"/>
          <w:b w:val="0"/>
          <w:i w:val="0"/>
          <w:sz w:val="22"/>
        </w:rPr>
        <w:t xml:space="preserve">). Esos criterios: (i) son aislados y anteriores a la reforma constitucional de 2011 y a la Ley de Amparo vigente, que </w:t>
      </w:r>
      <w:r>
        <w:rPr>
          <w:rFonts w:ascii="Arial" w:hAnsi="Arial" w:eastAsia="Arial"/>
          <w:b/>
          <w:i w:val="0"/>
          <w:sz w:val="22"/>
        </w:rPr>
        <w:t>obliga</w:t>
      </w:r>
      <w:r>
        <w:rPr>
          <w:rFonts w:ascii="Arial" w:hAnsi="Arial" w:eastAsia="Arial"/>
          <w:b w:val="0"/>
          <w:i w:val="0"/>
          <w:sz w:val="22"/>
        </w:rPr>
        <w:t xml:space="preserve"> a ponderar de manera </w:t>
      </w:r>
      <w:r>
        <w:rPr>
          <w:rFonts w:ascii="Arial" w:hAnsi="Arial" w:eastAsia="Arial"/>
          <w:b w:val="0"/>
          <w:i/>
          <w:sz w:val="22"/>
        </w:rPr>
        <w:t>"expresa y justificada"</w:t>
      </w:r>
      <w:r>
        <w:rPr>
          <w:rFonts w:ascii="Arial" w:hAnsi="Arial" w:eastAsia="Arial"/>
          <w:b w:val="0"/>
          <w:i w:val="0"/>
          <w:sz w:val="22"/>
        </w:rPr>
        <w:t xml:space="preserve"> la apariencia del buen derecho frente al interés social (art. 128, párr. 2); (ii) se dictaron en quejas promovidas por </w:t>
      </w:r>
      <w:r>
        <w:rPr>
          <w:rFonts w:ascii="Arial" w:hAnsi="Arial" w:eastAsia="Arial"/>
          <w:b/>
          <w:i w:val="0"/>
          <w:sz w:val="22"/>
        </w:rPr>
        <w:t>concesionarias</w:t>
      </w:r>
      <w:r>
        <w:rPr>
          <w:rFonts w:ascii="Arial" w:hAnsi="Arial" w:eastAsia="Arial"/>
          <w:b w:val="0"/>
          <w:i w:val="0"/>
          <w:sz w:val="22"/>
        </w:rPr>
        <w:t xml:space="preserve">, no por personas usuarias titulares de derechos fundamentales; y (iii) partieron de la premisa de que el registro era eficaz para combatir el delito, premisa que el Pleno de la Suprema Corte desmintió en 2022 al recordar que el RENAUT fue derogado </w:t>
      </w:r>
      <w:r>
        <w:rPr>
          <w:rFonts w:ascii="Arial" w:hAnsi="Arial" w:eastAsia="Arial"/>
          <w:b w:val="0"/>
          <w:i/>
          <w:sz w:val="22"/>
        </w:rPr>
        <w:t>"tras confirmarse que era ineficaz"</w:t>
      </w:r>
      <w:r>
        <w:rPr>
          <w:rFonts w:ascii="Arial" w:hAnsi="Arial" w:eastAsia="Arial"/>
          <w:b w:val="0"/>
          <w:i w:val="0"/>
          <w:sz w:val="22"/>
        </w:rPr>
        <w:t>. Manifiesto bajo protesta de decir verdad que los hechos en que se funda esta solicitud son ciertos.</w:t>
      </w:r>
    </w:p>
    <w:p>
      <w:pPr>
        <w:pStyle w:val="Heading2"/>
      </w:pPr>
      <w:r>
        <w:rPr>
          <w:rFonts w:ascii="Arial" w:hAnsi="Arial"/>
          <w:b w:val="0"/>
          <w:color w:val="2E74B5"/>
          <w:sz w:val="26"/>
        </w:rPr>
        <w:t>VIII. Pruebas</w:t>
      </w:r>
    </w:p>
    <w:p>
      <w:pPr>
        <w:jc w:val="both"/>
      </w:pPr>
      <w:r>
        <w:rPr>
          <w:rFonts w:ascii="Arial" w:hAnsi="Arial" w:eastAsia="Arial"/>
          <w:b w:val="0"/>
          <w:i w:val="0"/>
          <w:sz w:val="22"/>
        </w:rPr>
        <w:t xml:space="preserve">1.- </w:t>
      </w:r>
      <w:r>
        <w:rPr>
          <w:rFonts w:ascii="Arial" w:hAnsi="Arial" w:eastAsia="Arial"/>
          <w:b/>
          <w:i w:val="0"/>
          <w:sz w:val="22"/>
        </w:rPr>
        <w:t>DOCUMENTAL</w:t>
      </w:r>
      <w:r>
        <w:rPr>
          <w:rFonts w:ascii="Arial" w:hAnsi="Arial" w:eastAsia="Arial"/>
          <w:b w:val="0"/>
          <w:i w:val="0"/>
          <w:sz w:val="22"/>
        </w:rPr>
        <w:t xml:space="preserve"> — </w:t>
      </w:r>
      <w:r>
        <w:rPr>
          <w:rFonts w:ascii="Arial" w:hAnsi="Arial" w:eastAsia="Arial"/>
          <w:b/>
          <w:i w:val="0"/>
          <w:color w:val="EE0000"/>
          <w:sz w:val="22"/>
        </w:rPr>
        <w:t>[contrato / estado de cuenta] de la línea [___] a nombre del quejoso</w:t>
      </w:r>
      <w:r>
        <w:rPr>
          <w:rFonts w:ascii="Arial" w:hAnsi="Arial" w:eastAsia="Arial"/>
          <w:b w:val="0"/>
          <w:i w:val="0"/>
          <w:sz w:val="22"/>
        </w:rPr>
        <w:t xml:space="preserve"> (anexo 1). ▸ [Si la línea es de prepago y no hay contrato nominativo, sustituir por:] </w:t>
      </w:r>
      <w:r>
        <w:rPr>
          <w:rFonts w:ascii="Arial" w:hAnsi="Arial" w:eastAsia="Arial"/>
          <w:b/>
          <w:i w:val="0"/>
          <w:color w:val="EE0000"/>
          <w:sz w:val="22"/>
        </w:rPr>
        <w:t>captura de la aplicación de [prestadora] en la que aparecen mi nombre y mi número [___]; [factura o recibo de compra de equipo o de recargas a mi nombre]; [comprobante de portabilidad]; [documento bancario / de servicios / escolar en el que consta ese número como mío]</w:t>
      </w:r>
      <w:r>
        <w:rPr>
          <w:rFonts w:ascii="Arial" w:hAnsi="Arial" w:eastAsia="Arial"/>
          <w:b w:val="0"/>
          <w:i w:val="0"/>
          <w:sz w:val="22"/>
        </w:rPr>
        <w:t xml:space="preserve"> (anexo 1), que en conjunto acreditan que soy la persona titular y usuaria de la línea.</w:t>
      </w:r>
    </w:p>
    <w:p>
      <w:pPr>
        <w:jc w:val="both"/>
      </w:pPr>
      <w:r>
        <w:rPr>
          <w:rFonts w:ascii="Arial" w:hAnsi="Arial" w:eastAsia="Arial"/>
          <w:b w:val="0"/>
          <w:i w:val="0"/>
          <w:sz w:val="22"/>
        </w:rPr>
        <w:t xml:space="preserve">2.- </w:t>
      </w:r>
      <w:r>
        <w:rPr>
          <w:rFonts w:ascii="Arial" w:hAnsi="Arial" w:eastAsia="Arial"/>
          <w:b/>
          <w:i w:val="0"/>
          <w:sz w:val="22"/>
        </w:rPr>
        <w:t>DOCUMENTAL</w:t>
      </w:r>
      <w:r>
        <w:rPr>
          <w:rFonts w:ascii="Arial" w:hAnsi="Arial" w:eastAsia="Arial"/>
          <w:b w:val="0"/>
          <w:i w:val="0"/>
          <w:sz w:val="22"/>
        </w:rPr>
        <w:t xml:space="preserve"> — </w:t>
      </w:r>
      <w:r>
        <w:rPr>
          <w:rFonts w:ascii="Arial" w:hAnsi="Arial" w:eastAsia="Arial"/>
          <w:b/>
          <w:i w:val="0"/>
          <w:color w:val="EE0000"/>
          <w:sz w:val="22"/>
        </w:rPr>
        <w:t>capturas de pantalla de los mensajes SMS recibidos en la línea</w:t>
      </w:r>
      <w:r>
        <w:rPr>
          <w:rFonts w:ascii="Arial" w:hAnsi="Arial" w:eastAsia="Arial"/>
          <w:b w:val="0"/>
          <w:i w:val="0"/>
          <w:sz w:val="22"/>
        </w:rPr>
        <w:t>, con fecha, hora y remitente, transcritos en el hecho 3 (anexo 2).</w:t>
      </w:r>
    </w:p>
    <w:p>
      <w:pPr>
        <w:jc w:val="both"/>
      </w:pPr>
      <w:r>
        <w:rPr>
          <w:rFonts w:ascii="Arial" w:hAnsi="Arial" w:eastAsia="Arial"/>
          <w:b w:val="0"/>
          <w:i w:val="0"/>
          <w:sz w:val="22"/>
        </w:rPr>
        <w:t xml:space="preserve">3.- «A» </w:t>
      </w:r>
      <w:r>
        <w:rPr>
          <w:rFonts w:ascii="Arial" w:hAnsi="Arial" w:eastAsia="Arial"/>
          <w:b/>
          <w:i w:val="0"/>
          <w:sz w:val="22"/>
        </w:rPr>
        <w:t>DOCUMENTAL</w:t>
      </w:r>
      <w:r>
        <w:rPr>
          <w:rFonts w:ascii="Arial" w:hAnsi="Arial" w:eastAsia="Arial"/>
          <w:b w:val="0"/>
          <w:i w:val="0"/>
          <w:sz w:val="22"/>
        </w:rPr>
        <w:t xml:space="preserve"> — </w:t>
      </w:r>
      <w:r>
        <w:rPr>
          <w:rFonts w:ascii="Arial" w:hAnsi="Arial" w:eastAsia="Arial"/>
          <w:b/>
          <w:i w:val="0"/>
          <w:color w:val="EE0000"/>
          <w:sz w:val="22"/>
        </w:rPr>
        <w:t>captura de pantalla o fotografía de la leyenda de suspensión / del intento fallido de llamada</w:t>
      </w:r>
      <w:r>
        <w:rPr>
          <w:rFonts w:ascii="Arial" w:hAnsi="Arial" w:eastAsia="Arial"/>
          <w:b w:val="0"/>
          <w:i w:val="0"/>
          <w:sz w:val="22"/>
        </w:rPr>
        <w:t xml:space="preserve"> que acredita la deshabilitación de la línea (anexo 3). ▸ [OPCIONAL] </w:t>
      </w:r>
      <w:r>
        <w:rPr>
          <w:rFonts w:ascii="Arial" w:hAnsi="Arial" w:eastAsia="Arial"/>
          <w:b/>
          <w:i w:val="0"/>
          <w:sz w:val="22"/>
        </w:rPr>
        <w:t>INSPECCIÓN JUDICIAL</w:t>
      </w:r>
      <w:r>
        <w:rPr>
          <w:rFonts w:ascii="Arial" w:hAnsi="Arial" w:eastAsia="Arial"/>
          <w:b w:val="0"/>
          <w:i w:val="0"/>
          <w:sz w:val="22"/>
        </w:rPr>
        <w:t xml:space="preserve"> — que se practique sobre el equipo terminal con la SIM de la línea [___], para constatar que no permite realizar ni recibir llamadas, mensajes ni datos, y las leyendas que muestra al intentarlo (art. 119 LA).</w:t>
      </w:r>
    </w:p>
    <w:p>
      <w:pPr>
        <w:jc w:val="both"/>
      </w:pPr>
      <w:r>
        <w:rPr>
          <w:rFonts w:ascii="Arial" w:hAnsi="Arial" w:eastAsia="Arial"/>
          <w:b w:val="0"/>
          <w:i w:val="0"/>
          <w:sz w:val="22"/>
        </w:rPr>
        <w:t xml:space="preserve">4.- </w:t>
      </w:r>
      <w:r>
        <w:rPr>
          <w:rFonts w:ascii="Arial" w:hAnsi="Arial" w:eastAsia="Arial"/>
          <w:b/>
          <w:i w:val="0"/>
          <w:sz w:val="22"/>
        </w:rPr>
        <w:t>DOCUMENTAL</w:t>
      </w:r>
      <w:r>
        <w:rPr>
          <w:rFonts w:ascii="Arial" w:hAnsi="Arial" w:eastAsia="Arial"/>
          <w:b w:val="0"/>
          <w:i w:val="0"/>
          <w:sz w:val="22"/>
        </w:rPr>
        <w:t xml:space="preserve"> — copia de la credencial para votar del quejoso (anexo 4).</w:t>
      </w:r>
    </w:p>
    <w:p>
      <w:pPr>
        <w:jc w:val="both"/>
      </w:pPr>
      <w:r>
        <w:rPr>
          <w:rFonts w:ascii="Arial" w:hAnsi="Arial" w:eastAsia="Arial"/>
          <w:b w:val="0"/>
          <w:i w:val="0"/>
          <w:sz w:val="22"/>
        </w:rPr>
        <w:t xml:space="preserve">5.- </w:t>
      </w:r>
      <w:r>
        <w:rPr>
          <w:rFonts w:ascii="Arial" w:hAnsi="Arial" w:eastAsia="Arial"/>
          <w:b/>
          <w:i w:val="0"/>
          <w:sz w:val="22"/>
        </w:rPr>
        <w:t>HECHO NOTORIO</w:t>
      </w:r>
      <w:r>
        <w:rPr>
          <w:rFonts w:ascii="Arial" w:hAnsi="Arial" w:eastAsia="Arial"/>
          <w:b w:val="0"/>
          <w:i w:val="0"/>
          <w:sz w:val="22"/>
        </w:rPr>
        <w:t xml:space="preserve"> — (a) las publicaciones del DOF de 16 de julio de 2025, 9 de diciembre de 2025 y 30 de junio de 2026 (edición vespertina), y la sentencia de la AI 82/2021 publicada el 12 de diciembre de 2022, consultables en dof.gob.mx; y (b) la </w:t>
      </w:r>
      <w:r>
        <w:rPr>
          <w:rFonts w:ascii="Arial" w:hAnsi="Arial" w:eastAsia="Arial"/>
          <w:b/>
          <w:i w:val="0"/>
          <w:sz w:val="22"/>
        </w:rPr>
        <w:t>deshabilitación masiva y escalonada de líneas no vinculadas</w:t>
      </w:r>
      <w:r>
        <w:rPr>
          <w:rFonts w:ascii="Arial" w:hAnsi="Arial" w:eastAsia="Arial"/>
          <w:b w:val="0"/>
          <w:i w:val="0"/>
          <w:sz w:val="22"/>
        </w:rPr>
        <w:t xml:space="preserve"> que, conforme al calendario oficial, se ejecuta desde el 16 de agosto de 2026 y ha sido objeto de cobertura pública y notoria en medios de circulación nacional. y (c) la resolución de la </w:t>
      </w:r>
      <w:r>
        <w:rPr>
          <w:rFonts w:ascii="Arial" w:hAnsi="Arial" w:eastAsia="Arial"/>
          <w:b/>
          <w:i w:val="0"/>
          <w:sz w:val="22"/>
        </w:rPr>
        <w:t>queja 260/2026</w:t>
      </w:r>
      <w:r>
        <w:rPr>
          <w:rFonts w:ascii="Arial" w:hAnsi="Arial" w:eastAsia="Arial"/>
          <w:b w:val="0"/>
          <w:i w:val="0"/>
          <w:sz w:val="22"/>
        </w:rPr>
        <w:t xml:space="preserve"> del índice del Segundo Tribunal Colegiado en Materia Administrativa del Segundo Circuito (junio de 2026), que concedió la suspensión provisional contra la exigencia de datos biométricos en este mismo registro. Todos son hechos notorios que ese Juzgado puede invocar aunque no se prueben (art. 269 del Código Nacional de Procedimientos Civiles y Familiares, de aplicación supletoria conforme al art. 2o. LA; jurisprudencia </w:t>
      </w:r>
      <w:r>
        <w:rPr>
          <w:rFonts w:ascii="Arial" w:hAnsi="Arial" w:eastAsia="Arial"/>
          <w:b/>
          <w:i w:val="0"/>
          <w:sz w:val="22"/>
        </w:rPr>
        <w:t>I.3o.C. J/8 K (11a.)</w:t>
      </w:r>
      <w:r>
        <w:rPr>
          <w:rFonts w:ascii="Arial" w:hAnsi="Arial" w:eastAsia="Arial"/>
          <w:b w:val="0"/>
          <w:i w:val="0"/>
          <w:sz w:val="22"/>
        </w:rPr>
        <w:t xml:space="preserve">, registro </w:t>
      </w:r>
      <w:r>
        <w:rPr>
          <w:rFonts w:ascii="Arial" w:hAnsi="Arial" w:eastAsia="Arial"/>
          <w:b/>
          <w:i w:val="0"/>
          <w:sz w:val="22"/>
        </w:rPr>
        <w:t>2030262</w:t>
      </w:r>
      <w:r>
        <w:rPr>
          <w:rFonts w:ascii="Arial" w:hAnsi="Arial" w:eastAsia="Arial"/>
          <w:b w:val="0"/>
          <w:i w:val="0"/>
          <w:sz w:val="22"/>
        </w:rPr>
        <w:t xml:space="preserve">), y que hacen operar, para efectos de la suspensión, la </w:t>
      </w:r>
      <w:r>
        <w:rPr>
          <w:rFonts w:ascii="Arial" w:hAnsi="Arial" w:eastAsia="Arial"/>
          <w:b/>
          <w:i w:val="0"/>
          <w:sz w:val="22"/>
        </w:rPr>
        <w:t>presunción razonable sobre la existencia del acto</w:t>
      </w:r>
      <w:r>
        <w:rPr>
          <w:rFonts w:ascii="Arial" w:hAnsi="Arial" w:eastAsia="Arial"/>
          <w:b w:val="0"/>
          <w:i w:val="0"/>
          <w:sz w:val="22"/>
        </w:rPr>
        <w:t xml:space="preserve"> a que se refiere el art. 128, fracc. I, LA.</w:t>
      </w:r>
    </w:p>
    <w:p>
      <w:pPr>
        <w:jc w:val="both"/>
      </w:pPr>
      <w:r>
        <w:rPr>
          <w:rFonts w:ascii="Arial" w:hAnsi="Arial" w:eastAsia="Arial"/>
          <w:b w:val="0"/>
          <w:i w:val="0"/>
          <w:sz w:val="22"/>
        </w:rPr>
        <w:t xml:space="preserve">6.- </w:t>
      </w:r>
      <w:r>
        <w:rPr>
          <w:rFonts w:ascii="Arial" w:hAnsi="Arial" w:eastAsia="Arial"/>
          <w:b/>
          <w:i w:val="0"/>
          <w:sz w:val="22"/>
        </w:rPr>
        <w:t>PRESUNCIONAL LEGAL Y HUMANA</w:t>
      </w:r>
      <w:r>
        <w:rPr>
          <w:rFonts w:ascii="Arial" w:hAnsi="Arial" w:eastAsia="Arial"/>
          <w:b w:val="0"/>
          <w:i w:val="0"/>
          <w:sz w:val="22"/>
        </w:rPr>
        <w:t xml:space="preserve"> e </w:t>
      </w:r>
      <w:r>
        <w:rPr>
          <w:rFonts w:ascii="Arial" w:hAnsi="Arial" w:eastAsia="Arial"/>
          <w:b/>
          <w:i w:val="0"/>
          <w:sz w:val="22"/>
        </w:rPr>
        <w:t>INSTRUMENTAL DE ACTUACIONES</w:t>
      </w:r>
      <w:r>
        <w:rPr>
          <w:rFonts w:ascii="Arial" w:hAnsi="Arial" w:eastAsia="Arial"/>
          <w:b w:val="0"/>
          <w:i w:val="0"/>
          <w:sz w:val="22"/>
        </w:rPr>
        <w:t>, en cuanto favorezcan.</w:t>
      </w:r>
    </w:p>
    <w:p>
      <w:pPr>
        <w:pStyle w:val="Heading2"/>
        <w:keepNext/>
        <w:pageBreakBefore/>
      </w:pPr>
      <w:r>
        <w:rPr>
          <w:rFonts w:ascii="Arial" w:hAnsi="Arial"/>
          <w:b w:val="0"/>
          <w:color w:val="2E74B5"/>
          <w:sz w:val="26"/>
        </w:rPr>
        <w:t>Puntos petitorios</w:t>
      </w:r>
    </w:p>
    <w:p>
      <w:pPr>
        <w:jc w:val="both"/>
      </w:pPr>
      <w:r>
        <w:rPr>
          <w:rFonts w:ascii="Arial" w:hAnsi="Arial" w:eastAsia="Arial"/>
          <w:b/>
          <w:i w:val="0"/>
          <w:sz w:val="22"/>
        </w:rPr>
        <w:t>PRIMERO.</w:t>
      </w:r>
      <w:r>
        <w:rPr>
          <w:rFonts w:ascii="Arial" w:hAnsi="Arial" w:eastAsia="Arial"/>
          <w:b w:val="0"/>
          <w:i w:val="0"/>
          <w:sz w:val="22"/>
        </w:rPr>
        <w:t xml:space="preserve"> Tenerme por presentado/a en tiempo y forma demandando el amparo y protección de la Justicia Federal contra las normas y actos precisados; admitir la demanda y tener por señalado domicilio y por autorizadas a las personas indicadas.</w:t>
      </w:r>
    </w:p>
    <w:p>
      <w:pPr>
        <w:jc w:val="both"/>
      </w:pPr>
      <w:r>
        <w:rPr>
          <w:rFonts w:ascii="Arial" w:hAnsi="Arial" w:eastAsia="Arial"/>
          <w:b/>
          <w:i w:val="0"/>
          <w:sz w:val="22"/>
        </w:rPr>
        <w:t>SEGUNDO.</w:t>
      </w:r>
      <w:r>
        <w:rPr>
          <w:rFonts w:ascii="Arial" w:hAnsi="Arial" w:eastAsia="Arial"/>
          <w:b w:val="0"/>
          <w:i w:val="0"/>
          <w:sz w:val="22"/>
        </w:rPr>
        <w:t xml:space="preserve"> Conceder la </w:t>
      </w:r>
      <w:r>
        <w:rPr>
          <w:rFonts w:ascii="Arial" w:hAnsi="Arial" w:eastAsia="Arial"/>
          <w:b/>
          <w:i w:val="0"/>
          <w:sz w:val="22"/>
        </w:rPr>
        <w:t>suspensión provisional</w:t>
      </w:r>
      <w:r>
        <w:rPr>
          <w:rFonts w:ascii="Arial" w:hAnsi="Arial" w:eastAsia="Arial"/>
          <w:b w:val="0"/>
          <w:i w:val="0"/>
          <w:sz w:val="22"/>
        </w:rPr>
        <w:t xml:space="preserve"> en el primer proveído y, en su oportunidad, la </w:t>
      </w:r>
      <w:r>
        <w:rPr>
          <w:rFonts w:ascii="Arial" w:hAnsi="Arial" w:eastAsia="Arial"/>
          <w:b/>
          <w:i w:val="0"/>
          <w:sz w:val="22"/>
        </w:rPr>
        <w:t>definitiva</w:t>
      </w:r>
      <w:r>
        <w:rPr>
          <w:rFonts w:ascii="Arial" w:hAnsi="Arial" w:eastAsia="Arial"/>
          <w:b w:val="0"/>
          <w:i w:val="0"/>
          <w:sz w:val="22"/>
        </w:rPr>
        <w:t>, con los efectos solicitados en el capítulo de suspensión —paralización, respecto de mi línea, de la consecuencia prevista en el Trigésimo Transitorio y en los artículos 103 y 164, fracción III, de la LMTR— y, como mecanismo de cumplimiento, que la Comisión Reguladora de Telecomunicaciones comunique la medida a [prestadora] y le ordene acatarla de inmediato (art. 149 LA), requiriendo a ambas el informe previo.</w:t>
      </w:r>
    </w:p>
    <w:p>
      <w:pPr>
        <w:jc w:val="both"/>
      </w:pPr>
      <w:r>
        <w:rPr>
          <w:rFonts w:ascii="Arial" w:hAnsi="Arial" w:eastAsia="Arial"/>
          <w:b/>
          <w:i w:val="0"/>
          <w:sz w:val="22"/>
        </w:rPr>
        <w:t>TERCERO.</w:t>
      </w:r>
      <w:r>
        <w:rPr>
          <w:rFonts w:ascii="Arial" w:hAnsi="Arial" w:eastAsia="Arial"/>
          <w:b w:val="0"/>
          <w:i w:val="0"/>
          <w:sz w:val="22"/>
        </w:rPr>
        <w:t xml:space="preserve"> Requerir a las responsables sus informes previo y justificado y, en su oportunidad, celebrar la audiencia constitucional.</w:t>
      </w:r>
    </w:p>
    <w:p>
      <w:pPr>
        <w:jc w:val="both"/>
      </w:pPr>
      <w:r>
        <w:rPr>
          <w:rFonts w:ascii="Arial" w:hAnsi="Arial" w:eastAsia="Arial"/>
          <w:b/>
          <w:i w:val="0"/>
          <w:sz w:val="22"/>
        </w:rPr>
        <w:t>CUARTO.</w:t>
      </w:r>
      <w:r>
        <w:rPr>
          <w:rFonts w:ascii="Arial" w:hAnsi="Arial" w:eastAsia="Arial"/>
          <w:b w:val="0"/>
          <w:i w:val="0"/>
          <w:sz w:val="22"/>
        </w:rPr>
        <w:t xml:space="preserve"> En sentencia, </w:t>
      </w:r>
      <w:r>
        <w:rPr>
          <w:rFonts w:ascii="Arial" w:hAnsi="Arial" w:eastAsia="Arial"/>
          <w:b/>
          <w:i w:val="0"/>
          <w:sz w:val="22"/>
        </w:rPr>
        <w:t>CONCEDER EL AMPARO</w:t>
      </w:r>
      <w:r>
        <w:rPr>
          <w:rFonts w:ascii="Arial" w:hAnsi="Arial" w:eastAsia="Arial"/>
          <w:b w:val="0"/>
          <w:i w:val="0"/>
          <w:sz w:val="22"/>
        </w:rPr>
        <w:t xml:space="preserve"> contra los artículos 103, 164, fracción III, y Trigésimo Transitorio, párrafo segundo, de la LMTR; contra los preceptos reclamados de los Lineamientos y de su Modificación; y contra el acto de aplicación, para el efecto de que se desincorporen de mi esfera jurídica, no me sean aplicados en lo futuro, se deje insubsistente la deshabilitación y se me mantenga en el goce del servicio de la línea [___] sin condicionarlo a la vinculación, con la protección más amplia (art. 1o. CPEUM y 78 LA).</w:t>
      </w:r>
    </w:p>
    <w:p>
      <w:pPr>
        <w:spacing w:before="240"/>
        <w:jc w:val="both"/>
      </w:pPr>
      <w:r>
        <w:rPr>
          <w:rFonts w:ascii="Arial" w:hAnsi="Arial" w:eastAsia="Arial"/>
          <w:b/>
          <w:i w:val="0"/>
          <w:sz w:val="22"/>
        </w:rPr>
        <w:t>PROTESTO LO NECESARIO</w:t>
      </w:r>
    </w:p>
    <w:p>
      <w:pPr>
        <w:jc w:val="center"/>
      </w:pPr>
      <w:r>
        <w:rPr>
          <w:rFonts w:ascii="Arial" w:hAnsi="Arial" w:eastAsia="Arial"/>
          <w:b w:val="0"/>
          <w:i w:val="0"/>
          <w:sz w:val="22"/>
        </w:rPr>
        <w:t>León, Guanajuato, a [___] de [___] de 2026.</w:t>
      </w:r>
    </w:p>
    <w:p/>
    <w:p>
      <w:pPr>
        <w:jc w:val="center"/>
      </w:pPr>
      <w:r>
        <w:rPr>
          <w:rFonts w:ascii="Arial" w:hAnsi="Arial" w:eastAsia="Arial"/>
          <w:b w:val="0"/>
          <w:i w:val="0"/>
          <w:sz w:val="22"/>
        </w:rPr>
        <w:t>_______________________________</w:t>
      </w:r>
    </w:p>
    <w:p>
      <w:pPr>
        <w:jc w:val="center"/>
      </w:pPr>
      <w:r>
        <w:rPr>
          <w:rFonts w:ascii="Arial" w:hAnsi="Arial" w:eastAsia="Arial"/>
          <w:b/>
          <w:i w:val="0"/>
          <w:sz w:val="22"/>
        </w:rPr>
        <w:t>[NOMBRE DEL QUEJOSO/A]</w:t>
      </w:r>
    </w:p>
    <w:p>
      <w:pPr>
        <w:jc w:val="center"/>
      </w:pPr>
      <w:r>
        <w:rPr>
          <w:rFonts w:ascii="Arial" w:hAnsi="Arial" w:eastAsia="Arial"/>
          <w:b w:val="0"/>
          <w:i w:val="0"/>
          <w:sz w:val="22"/>
        </w:rPr>
        <w:t>Quejoso/a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pPr>
    <w:rPr>
      <w:rFonts w:ascii="Arial" w:hAnsi="Arial" w:eastAsia="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Arial" w:hAnsi="Arial" w:eastAsia="Arial"/>
      <w:b w:val="0"/>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